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DDEBF3" w14:textId="020B8807" w:rsidR="009739C4" w:rsidRPr="00BD4DE0" w:rsidRDefault="00000000" w:rsidP="00BD4DE0">
      <w:pPr>
        <w:pStyle w:val="Standard"/>
        <w:jc w:val="center"/>
        <w:rPr>
          <w:b/>
          <w:bCs/>
          <w:i/>
          <w:iCs/>
        </w:rPr>
      </w:pPr>
      <w:r w:rsidRPr="00BD4DE0">
        <w:rPr>
          <w:b/>
          <w:bCs/>
          <w:i/>
          <w:iCs/>
        </w:rPr>
        <w:t xml:space="preserve">Prof. dr Mirjana Radovanović </w:t>
      </w:r>
      <w:r w:rsidR="003C7B9C" w:rsidRPr="00BD4DE0">
        <w:rPr>
          <w:b/>
          <w:bCs/>
          <w:i/>
          <w:iCs/>
        </w:rPr>
        <w:t>(Golušin)</w:t>
      </w:r>
    </w:p>
    <w:p w14:paraId="03B1B5DA" w14:textId="77777777" w:rsidR="009739C4" w:rsidRPr="00BD4DE0" w:rsidRDefault="00000000" w:rsidP="00BD4DE0">
      <w:pPr>
        <w:jc w:val="both"/>
        <w:rPr>
          <w:rFonts w:ascii="Times New Roman" w:hAnsi="Times New Roman" w:cs="Times New Roman"/>
          <w:b/>
          <w:bCs/>
          <w:i/>
          <w:iCs/>
          <w:szCs w:val="24"/>
        </w:rPr>
      </w:pPr>
      <w:r w:rsidRPr="00BD4DE0">
        <w:rPr>
          <w:rFonts w:ascii="Times New Roman" w:hAnsi="Times New Roman" w:cs="Times New Roman"/>
          <w:b/>
          <w:bCs/>
          <w:i/>
          <w:iCs/>
          <w:szCs w:val="24"/>
        </w:rPr>
        <w:t>Biografija</w:t>
      </w:r>
    </w:p>
    <w:p w14:paraId="539A273D" w14:textId="77777777" w:rsidR="009739C4" w:rsidRPr="00BD4DE0" w:rsidRDefault="009739C4" w:rsidP="00BD4DE0">
      <w:pPr>
        <w:jc w:val="both"/>
        <w:rPr>
          <w:rFonts w:ascii="Times New Roman" w:hAnsi="Times New Roman" w:cs="Times New Roman"/>
          <w:szCs w:val="24"/>
        </w:rPr>
      </w:pPr>
    </w:p>
    <w:tbl>
      <w:tblPr>
        <w:tblW w:w="9209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73"/>
        <w:gridCol w:w="4536"/>
      </w:tblGrid>
      <w:tr w:rsidR="009739C4" w:rsidRPr="00BD4DE0" w14:paraId="260C6725" w14:textId="77777777" w:rsidTr="00BD4DE0">
        <w:trPr>
          <w:trHeight w:val="5192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E02E18" w14:textId="77777777" w:rsidR="009739C4" w:rsidRPr="00BD4DE0" w:rsidRDefault="00000000" w:rsidP="00BD4DE0">
            <w:pPr>
              <w:widowControl/>
              <w:suppressAutoHyphens w:val="0"/>
              <w:jc w:val="both"/>
              <w:textAlignment w:val="auto"/>
              <w:rPr>
                <w:rFonts w:ascii="Times New Roman" w:hAnsi="Times New Roman" w:cs="Times New Roman"/>
                <w:szCs w:val="24"/>
              </w:rPr>
            </w:pPr>
            <w:r w:rsidRPr="00BD4DE0">
              <w:rPr>
                <w:rFonts w:ascii="Times New Roman" w:hAnsi="Times New Roman" w:cs="Times New Roman"/>
                <w:noProof/>
                <w:szCs w:val="24"/>
              </w:rPr>
              <w:drawing>
                <wp:anchor distT="0" distB="0" distL="114300" distR="114300" simplePos="0" relativeHeight="251662336" behindDoc="0" locked="0" layoutInCell="1" allowOverlap="1" wp14:anchorId="7186B866" wp14:editId="585D1CFC">
                  <wp:simplePos x="0" y="0"/>
                  <wp:positionH relativeFrom="margin">
                    <wp:posOffset>31747</wp:posOffset>
                  </wp:positionH>
                  <wp:positionV relativeFrom="paragraph">
                    <wp:posOffset>119384</wp:posOffset>
                  </wp:positionV>
                  <wp:extent cx="2826382" cy="2980687"/>
                  <wp:effectExtent l="0" t="0" r="0" b="0"/>
                  <wp:wrapSquare wrapText="bothSides"/>
                  <wp:docPr id="1" name="Picture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26382" cy="29806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552DE1" w14:textId="77777777" w:rsidR="009739C4" w:rsidRPr="00BD4DE0" w:rsidRDefault="009739C4" w:rsidP="00BD4DE0">
            <w:pPr>
              <w:widowControl/>
              <w:suppressAutoHyphens w:val="0"/>
              <w:jc w:val="both"/>
              <w:textAlignment w:val="auto"/>
              <w:rPr>
                <w:rFonts w:ascii="Times New Roman" w:hAnsi="Times New Roman" w:cs="Times New Roman"/>
                <w:szCs w:val="24"/>
              </w:rPr>
            </w:pPr>
          </w:p>
          <w:p w14:paraId="58CDDE70" w14:textId="77777777" w:rsidR="009739C4" w:rsidRPr="00BD4DE0" w:rsidRDefault="00000000" w:rsidP="00BD4DE0">
            <w:pPr>
              <w:widowControl/>
              <w:suppressAutoHyphens w:val="0"/>
              <w:jc w:val="both"/>
              <w:textAlignment w:val="auto"/>
              <w:rPr>
                <w:rFonts w:ascii="Times New Roman" w:hAnsi="Times New Roman" w:cs="Times New Roman"/>
                <w:szCs w:val="24"/>
              </w:rPr>
            </w:pPr>
            <w:r w:rsidRPr="00BD4DE0">
              <w:rPr>
                <w:rFonts w:ascii="Times New Roman" w:hAnsi="Times New Roman" w:cs="Times New Roman"/>
                <w:szCs w:val="24"/>
              </w:rPr>
              <w:t>Datum rođenja: 04. Avgust 1968, SRBIJA</w:t>
            </w:r>
          </w:p>
          <w:p w14:paraId="6CDB5663" w14:textId="77777777" w:rsidR="009739C4" w:rsidRPr="00BD4DE0" w:rsidRDefault="009739C4" w:rsidP="00BD4DE0">
            <w:pPr>
              <w:widowControl/>
              <w:suppressAutoHyphens w:val="0"/>
              <w:jc w:val="both"/>
              <w:textAlignment w:val="auto"/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  <w:p w14:paraId="358DFCCA" w14:textId="77777777" w:rsidR="009739C4" w:rsidRPr="00BD4DE0" w:rsidRDefault="00000000" w:rsidP="00BD4DE0">
            <w:pPr>
              <w:widowControl/>
              <w:suppressAutoHyphens w:val="0"/>
              <w:jc w:val="both"/>
              <w:textAlignment w:val="auto"/>
              <w:rPr>
                <w:rFonts w:ascii="Times New Roman" w:hAnsi="Times New Roman" w:cs="Times New Roman"/>
                <w:b/>
                <w:bCs/>
                <w:i/>
                <w:iCs/>
                <w:szCs w:val="24"/>
              </w:rPr>
            </w:pPr>
            <w:r w:rsidRPr="00BD4DE0">
              <w:rPr>
                <w:rFonts w:ascii="Times New Roman" w:hAnsi="Times New Roman" w:cs="Times New Roman"/>
                <w:b/>
                <w:bCs/>
                <w:i/>
                <w:iCs/>
                <w:szCs w:val="24"/>
              </w:rPr>
              <w:t>Trenutno radno mesto</w:t>
            </w:r>
          </w:p>
          <w:p w14:paraId="2327AFB8" w14:textId="77777777" w:rsidR="009739C4" w:rsidRPr="00BD4DE0" w:rsidRDefault="009739C4" w:rsidP="00BD4DE0">
            <w:pPr>
              <w:widowControl/>
              <w:suppressAutoHyphens w:val="0"/>
              <w:jc w:val="both"/>
              <w:textAlignment w:val="auto"/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  <w:p w14:paraId="448CF39F" w14:textId="77777777" w:rsidR="009739C4" w:rsidRPr="00BD4DE0" w:rsidRDefault="00000000" w:rsidP="00BD4DE0">
            <w:pPr>
              <w:widowControl/>
              <w:suppressAutoHyphens w:val="0"/>
              <w:jc w:val="both"/>
              <w:textAlignment w:val="auto"/>
              <w:rPr>
                <w:rFonts w:ascii="Times New Roman" w:hAnsi="Times New Roman" w:cs="Times New Roman"/>
                <w:b/>
                <w:bCs/>
                <w:szCs w:val="24"/>
              </w:rPr>
            </w:pPr>
            <w:r w:rsidRPr="00BD4DE0">
              <w:rPr>
                <w:rFonts w:ascii="Times New Roman" w:hAnsi="Times New Roman" w:cs="Times New Roman"/>
                <w:b/>
                <w:bCs/>
                <w:szCs w:val="24"/>
              </w:rPr>
              <w:t>Redovni profesor</w:t>
            </w:r>
          </w:p>
          <w:p w14:paraId="6E6AE311" w14:textId="52503125" w:rsidR="009739C4" w:rsidRPr="00BD4DE0" w:rsidRDefault="00000000" w:rsidP="00BD4DE0">
            <w:pPr>
              <w:widowControl/>
              <w:suppressAutoHyphens w:val="0"/>
              <w:jc w:val="both"/>
              <w:textAlignment w:val="auto"/>
              <w:rPr>
                <w:rFonts w:ascii="Times New Roman" w:hAnsi="Times New Roman" w:cs="Times New Roman"/>
                <w:szCs w:val="24"/>
              </w:rPr>
            </w:pPr>
            <w:r w:rsidRPr="00BD4DE0">
              <w:rPr>
                <w:rFonts w:ascii="Times New Roman" w:hAnsi="Times New Roman" w:cs="Times New Roman"/>
                <w:szCs w:val="24"/>
              </w:rPr>
              <w:t xml:space="preserve">EDUCONS Univerzitet, Sremska Kamenica, SRBIJA, Fakultet za </w:t>
            </w:r>
            <w:r w:rsidR="00277E42" w:rsidRPr="00BD4DE0">
              <w:rPr>
                <w:rFonts w:ascii="Times New Roman" w:hAnsi="Times New Roman" w:cs="Times New Roman"/>
                <w:szCs w:val="24"/>
              </w:rPr>
              <w:t>studije bezbednosti</w:t>
            </w:r>
          </w:p>
          <w:p w14:paraId="1595E7E2" w14:textId="77777777" w:rsidR="009739C4" w:rsidRPr="00BD4DE0" w:rsidRDefault="009739C4" w:rsidP="00BD4DE0">
            <w:pPr>
              <w:widowControl/>
              <w:suppressAutoHyphens w:val="0"/>
              <w:jc w:val="both"/>
              <w:textAlignment w:val="auto"/>
              <w:rPr>
                <w:rFonts w:ascii="Times New Roman" w:hAnsi="Times New Roman" w:cs="Times New Roman"/>
                <w:szCs w:val="24"/>
              </w:rPr>
            </w:pPr>
          </w:p>
          <w:p w14:paraId="32ED8160" w14:textId="77777777" w:rsidR="009739C4" w:rsidRPr="00BD4DE0" w:rsidRDefault="00000000" w:rsidP="00BD4DE0">
            <w:pPr>
              <w:widowControl/>
              <w:suppressAutoHyphens w:val="0"/>
              <w:jc w:val="both"/>
              <w:textAlignment w:val="auto"/>
              <w:rPr>
                <w:rFonts w:ascii="Times New Roman" w:hAnsi="Times New Roman" w:cs="Times New Roman"/>
                <w:szCs w:val="24"/>
              </w:rPr>
            </w:pPr>
            <w:r w:rsidRPr="00BD4DE0">
              <w:rPr>
                <w:rFonts w:ascii="Times New Roman" w:hAnsi="Times New Roman" w:cs="Times New Roman"/>
                <w:szCs w:val="24"/>
              </w:rPr>
              <w:t>Prodekan za nauku i međunarodnu saradnju</w:t>
            </w:r>
          </w:p>
          <w:p w14:paraId="5C890329" w14:textId="77777777" w:rsidR="009739C4" w:rsidRPr="00BD4DE0" w:rsidRDefault="009739C4" w:rsidP="00BD4DE0">
            <w:pPr>
              <w:widowControl/>
              <w:suppressAutoHyphens w:val="0"/>
              <w:jc w:val="both"/>
              <w:textAlignment w:val="auto"/>
              <w:rPr>
                <w:rFonts w:ascii="Times New Roman" w:hAnsi="Times New Roman" w:cs="Times New Roman"/>
                <w:b/>
                <w:szCs w:val="24"/>
              </w:rPr>
            </w:pPr>
          </w:p>
          <w:p w14:paraId="0F4B1A15" w14:textId="77777777" w:rsidR="009739C4" w:rsidRPr="00BD4DE0" w:rsidRDefault="00000000" w:rsidP="00BD4DE0">
            <w:pPr>
              <w:widowControl/>
              <w:suppressAutoHyphens w:val="0"/>
              <w:jc w:val="both"/>
              <w:textAlignment w:val="auto"/>
              <w:rPr>
                <w:rFonts w:ascii="Times New Roman" w:hAnsi="Times New Roman" w:cs="Times New Roman"/>
                <w:b/>
                <w:bCs/>
                <w:i/>
                <w:iCs/>
                <w:szCs w:val="24"/>
              </w:rPr>
            </w:pPr>
            <w:r w:rsidRPr="00BD4DE0">
              <w:rPr>
                <w:rFonts w:ascii="Times New Roman" w:hAnsi="Times New Roman" w:cs="Times New Roman"/>
                <w:b/>
                <w:bCs/>
                <w:i/>
                <w:iCs/>
                <w:szCs w:val="24"/>
              </w:rPr>
              <w:t>Akademski stepen</w:t>
            </w:r>
          </w:p>
          <w:p w14:paraId="4F345778" w14:textId="0F6E2C4B" w:rsidR="009739C4" w:rsidRPr="00BD4DE0" w:rsidRDefault="00000000" w:rsidP="00BD4DE0">
            <w:pPr>
              <w:widowControl/>
              <w:suppressAutoHyphens w:val="0"/>
              <w:jc w:val="both"/>
              <w:textAlignment w:val="auto"/>
              <w:rPr>
                <w:rFonts w:ascii="Times New Roman" w:hAnsi="Times New Roman" w:cs="Times New Roman"/>
                <w:szCs w:val="24"/>
              </w:rPr>
            </w:pPr>
            <w:r w:rsidRPr="00BD4DE0">
              <w:rPr>
                <w:rFonts w:ascii="Times New Roman" w:hAnsi="Times New Roman" w:cs="Times New Roman"/>
                <w:bCs/>
                <w:iCs/>
                <w:szCs w:val="24"/>
              </w:rPr>
              <w:t>Doktor nauka u naučnoj oblasti Inženjerstvo zaštite životne sredine (2004), Asocijacija centara za interdisciplinarne i multidisciplinarne studije, Univerzitet u Novom Sadu, SRBIJA.</w:t>
            </w:r>
          </w:p>
        </w:tc>
      </w:tr>
    </w:tbl>
    <w:p w14:paraId="44DDB408" w14:textId="77777777" w:rsidR="009739C4" w:rsidRPr="00BD4DE0" w:rsidRDefault="009739C4" w:rsidP="00BD4DE0">
      <w:pPr>
        <w:jc w:val="both"/>
        <w:rPr>
          <w:rFonts w:ascii="Times New Roman" w:eastAsia="Times New Roman" w:hAnsi="Times New Roman" w:cs="Times New Roman"/>
          <w:b/>
          <w:bCs/>
          <w:i/>
          <w:iCs/>
          <w:szCs w:val="24"/>
        </w:rPr>
      </w:pPr>
    </w:p>
    <w:p w14:paraId="08507C96" w14:textId="77777777" w:rsidR="009739C4" w:rsidRPr="00BD4DE0" w:rsidRDefault="00000000" w:rsidP="00BD4DE0">
      <w:pPr>
        <w:jc w:val="both"/>
        <w:rPr>
          <w:rFonts w:ascii="Times New Roman" w:hAnsi="Times New Roman" w:cs="Times New Roman"/>
          <w:b/>
          <w:bCs/>
          <w:i/>
          <w:iCs/>
          <w:szCs w:val="24"/>
        </w:rPr>
      </w:pPr>
      <w:r w:rsidRPr="00BD4DE0">
        <w:rPr>
          <w:rFonts w:ascii="Times New Roman" w:hAnsi="Times New Roman" w:cs="Times New Roman"/>
          <w:b/>
          <w:bCs/>
          <w:i/>
          <w:iCs/>
          <w:szCs w:val="24"/>
        </w:rPr>
        <w:t>Oblast stručnosti</w:t>
      </w:r>
    </w:p>
    <w:p w14:paraId="12C84CA1" w14:textId="77777777" w:rsidR="009739C4" w:rsidRPr="00BD4DE0" w:rsidRDefault="009739C4" w:rsidP="00BD4DE0">
      <w:pPr>
        <w:jc w:val="both"/>
        <w:rPr>
          <w:rFonts w:ascii="Times New Roman" w:hAnsi="Times New Roman" w:cs="Times New Roman"/>
          <w:b/>
          <w:bCs/>
          <w:i/>
          <w:iCs/>
          <w:szCs w:val="24"/>
        </w:rPr>
      </w:pPr>
    </w:p>
    <w:p w14:paraId="29307091" w14:textId="77777777" w:rsidR="009739C4" w:rsidRPr="00BD4DE0" w:rsidRDefault="00000000" w:rsidP="00BD4DE0">
      <w:pPr>
        <w:jc w:val="both"/>
        <w:rPr>
          <w:rFonts w:ascii="Times New Roman" w:hAnsi="Times New Roman" w:cs="Times New Roman"/>
          <w:szCs w:val="24"/>
        </w:rPr>
      </w:pPr>
      <w:r w:rsidRPr="00BD4DE0">
        <w:rPr>
          <w:rFonts w:ascii="Times New Roman" w:hAnsi="Times New Roman" w:cs="Times New Roman"/>
          <w:b/>
          <w:szCs w:val="24"/>
        </w:rPr>
        <w:t xml:space="preserve">Energetska i ekološka bezbednost: </w:t>
      </w:r>
      <w:r w:rsidRPr="00BD4DE0">
        <w:rPr>
          <w:rFonts w:ascii="Times New Roman" w:hAnsi="Times New Roman" w:cs="Times New Roman"/>
          <w:szCs w:val="24"/>
        </w:rPr>
        <w:t>Upravljanje prirodnim resursima. Geopolitika energetskih resursa. Energetska bezbednost.</w:t>
      </w:r>
      <w:r w:rsidRPr="00BD4DE0">
        <w:rPr>
          <w:rFonts w:ascii="Times New Roman" w:hAnsi="Times New Roman" w:cs="Times New Roman"/>
          <w:b/>
          <w:szCs w:val="24"/>
        </w:rPr>
        <w:t xml:space="preserve"> </w:t>
      </w:r>
      <w:r w:rsidRPr="00BD4DE0">
        <w:rPr>
          <w:rFonts w:ascii="Times New Roman" w:hAnsi="Times New Roman" w:cs="Times New Roman"/>
          <w:szCs w:val="24"/>
        </w:rPr>
        <w:t>Potpuno poznavanje energetske i ekološke politike Evropske unije, zemalja Jugoistočne Evrope, Ruske Federacije i Centralne Azije. Praćenje energetske bezbednosti i strateških kretanja u svim značajnijim zemljama sveta.</w:t>
      </w:r>
    </w:p>
    <w:p w14:paraId="425B275E" w14:textId="77777777" w:rsidR="009739C4" w:rsidRPr="00BD4DE0" w:rsidRDefault="009739C4" w:rsidP="00BD4DE0">
      <w:pPr>
        <w:jc w:val="both"/>
        <w:rPr>
          <w:rFonts w:ascii="Times New Roman" w:hAnsi="Times New Roman" w:cs="Times New Roman"/>
          <w:szCs w:val="24"/>
        </w:rPr>
      </w:pPr>
    </w:p>
    <w:p w14:paraId="3E021FEF" w14:textId="77777777" w:rsidR="009739C4" w:rsidRPr="00BD4DE0" w:rsidRDefault="00000000" w:rsidP="00BD4DE0">
      <w:pPr>
        <w:jc w:val="both"/>
        <w:rPr>
          <w:rFonts w:ascii="Times New Roman" w:hAnsi="Times New Roman" w:cs="Times New Roman"/>
          <w:szCs w:val="24"/>
        </w:rPr>
      </w:pPr>
      <w:r w:rsidRPr="00BD4DE0">
        <w:rPr>
          <w:rFonts w:ascii="Times New Roman" w:hAnsi="Times New Roman" w:cs="Times New Roman"/>
          <w:b/>
          <w:szCs w:val="24"/>
        </w:rPr>
        <w:t xml:space="preserve">Strateško planiranje. </w:t>
      </w:r>
      <w:r w:rsidRPr="00BD4DE0">
        <w:rPr>
          <w:rFonts w:ascii="Times New Roman" w:hAnsi="Times New Roman" w:cs="Times New Roman"/>
          <w:szCs w:val="24"/>
        </w:rPr>
        <w:t>Razvoj alata i tehnika za podršku odlučivanju. Multivarijabilna analiza, analiza scenarija. Primenjena matematika, statistika i informacione tehnologije.</w:t>
      </w:r>
    </w:p>
    <w:p w14:paraId="728FE50B" w14:textId="77777777" w:rsidR="009739C4" w:rsidRPr="00BD4DE0" w:rsidRDefault="009739C4" w:rsidP="00BD4DE0">
      <w:pPr>
        <w:jc w:val="both"/>
        <w:rPr>
          <w:rFonts w:ascii="Times New Roman" w:hAnsi="Times New Roman" w:cs="Times New Roman"/>
          <w:szCs w:val="24"/>
        </w:rPr>
      </w:pPr>
    </w:p>
    <w:p w14:paraId="1552D34E" w14:textId="77777777" w:rsidR="009739C4" w:rsidRPr="00BD4DE0" w:rsidRDefault="00000000" w:rsidP="00BD4DE0">
      <w:pPr>
        <w:jc w:val="both"/>
        <w:rPr>
          <w:rFonts w:ascii="Times New Roman" w:hAnsi="Times New Roman" w:cs="Times New Roman"/>
          <w:szCs w:val="24"/>
        </w:rPr>
      </w:pPr>
      <w:r w:rsidRPr="00BD4DE0">
        <w:rPr>
          <w:rFonts w:ascii="Times New Roman" w:hAnsi="Times New Roman" w:cs="Times New Roman"/>
          <w:b/>
          <w:szCs w:val="24"/>
        </w:rPr>
        <w:t>Analitika, monitoring, obrada podataka.</w:t>
      </w:r>
      <w:r w:rsidRPr="00BD4DE0">
        <w:rPr>
          <w:rFonts w:ascii="Times New Roman" w:hAnsi="Times New Roman" w:cs="Times New Roman"/>
          <w:szCs w:val="24"/>
        </w:rPr>
        <w:t xml:space="preserve"> Analiza postojećih i razvoj novih, naprednih metodologija za analizu spoljne i unutrašnje ekonomske, energetske i ekološke politike, kao i za monitoring i predviđanje.</w:t>
      </w:r>
    </w:p>
    <w:p w14:paraId="25811800" w14:textId="77777777" w:rsidR="009739C4" w:rsidRPr="00BD4DE0" w:rsidRDefault="009739C4" w:rsidP="00BD4DE0">
      <w:pPr>
        <w:jc w:val="both"/>
        <w:rPr>
          <w:rFonts w:ascii="Times New Roman" w:hAnsi="Times New Roman" w:cs="Times New Roman"/>
          <w:szCs w:val="24"/>
        </w:rPr>
      </w:pPr>
    </w:p>
    <w:p w14:paraId="64828879" w14:textId="77777777" w:rsidR="009739C4" w:rsidRPr="00BD4DE0" w:rsidRDefault="00000000" w:rsidP="00BD4DE0">
      <w:pPr>
        <w:pStyle w:val="Standard"/>
        <w:jc w:val="both"/>
      </w:pPr>
      <w:r w:rsidRPr="00BD4DE0">
        <w:rPr>
          <w:b/>
        </w:rPr>
        <w:t xml:space="preserve">Iskustvo u pripremi i realizaciji EU projekata </w:t>
      </w:r>
      <w:r w:rsidRPr="00BD4DE0">
        <w:rPr>
          <w:bCs/>
        </w:rPr>
        <w:t>(kao učesnik i koordinator).</w:t>
      </w:r>
    </w:p>
    <w:p w14:paraId="7EBA66F1" w14:textId="77777777" w:rsidR="009739C4" w:rsidRPr="00BD4DE0" w:rsidRDefault="009739C4" w:rsidP="00BD4DE0">
      <w:pPr>
        <w:pStyle w:val="ListParagraph"/>
        <w:suppressAutoHyphens w:val="0"/>
        <w:ind w:left="0"/>
        <w:jc w:val="both"/>
        <w:rPr>
          <w:b/>
          <w:iCs/>
          <w:szCs w:val="24"/>
        </w:rPr>
      </w:pPr>
    </w:p>
    <w:p w14:paraId="4ED8E2ED" w14:textId="77777777" w:rsidR="00EB1085" w:rsidRPr="00BD4DE0" w:rsidRDefault="00000000" w:rsidP="00BD4DE0">
      <w:pPr>
        <w:pStyle w:val="ListParagraph"/>
        <w:suppressAutoHyphens w:val="0"/>
        <w:ind w:left="0"/>
        <w:jc w:val="both"/>
        <w:rPr>
          <w:bCs/>
          <w:iCs/>
          <w:szCs w:val="24"/>
        </w:rPr>
      </w:pPr>
      <w:r w:rsidRPr="00BD4DE0">
        <w:rPr>
          <w:b/>
          <w:iCs/>
          <w:szCs w:val="24"/>
        </w:rPr>
        <w:t>Scopus:</w:t>
      </w:r>
      <w:r w:rsidRPr="00BD4DE0">
        <w:rPr>
          <w:bCs/>
          <w:iCs/>
          <w:szCs w:val="24"/>
        </w:rPr>
        <w:t xml:space="preserve"> Citiranost; 865 citata, H-index: 18 </w:t>
      </w:r>
    </w:p>
    <w:p w14:paraId="500C1559" w14:textId="48DFDAC7" w:rsidR="009739C4" w:rsidRPr="00BD4DE0" w:rsidRDefault="00000000" w:rsidP="00BD4DE0">
      <w:pPr>
        <w:pStyle w:val="ListParagraph"/>
        <w:suppressAutoHyphens w:val="0"/>
        <w:ind w:left="0"/>
        <w:jc w:val="both"/>
        <w:rPr>
          <w:szCs w:val="24"/>
        </w:rPr>
      </w:pPr>
      <w:r w:rsidRPr="00BD4DE0">
        <w:rPr>
          <w:bCs/>
          <w:iCs/>
          <w:szCs w:val="24"/>
        </w:rPr>
        <w:t>(</w:t>
      </w:r>
      <w:hyperlink r:id="rId8" w:history="1">
        <w:r w:rsidRPr="00BD4DE0">
          <w:rPr>
            <w:rStyle w:val="Hyperlink"/>
            <w:bCs/>
            <w:iCs/>
            <w:szCs w:val="24"/>
          </w:rPr>
          <w:t>https://www.scopus.com/authid/detail.uri?authorId=25930967600</w:t>
        </w:r>
      </w:hyperlink>
      <w:r w:rsidRPr="00BD4DE0">
        <w:rPr>
          <w:bCs/>
          <w:iCs/>
          <w:szCs w:val="24"/>
        </w:rPr>
        <w:t xml:space="preserve"> )</w:t>
      </w:r>
    </w:p>
    <w:p w14:paraId="7F667598" w14:textId="77777777" w:rsidR="00BD4DE0" w:rsidRDefault="00BD4DE0" w:rsidP="00BD4DE0">
      <w:pPr>
        <w:pStyle w:val="ListParagraph"/>
        <w:suppressAutoHyphens w:val="0"/>
        <w:ind w:left="0"/>
        <w:jc w:val="both"/>
        <w:rPr>
          <w:b/>
          <w:iCs/>
          <w:szCs w:val="24"/>
        </w:rPr>
      </w:pPr>
    </w:p>
    <w:p w14:paraId="4971B71A" w14:textId="780BD259" w:rsidR="009739C4" w:rsidRPr="00BD4DE0" w:rsidRDefault="00000000" w:rsidP="00BD4DE0">
      <w:pPr>
        <w:pStyle w:val="ListParagraph"/>
        <w:suppressAutoHyphens w:val="0"/>
        <w:ind w:left="0"/>
        <w:jc w:val="both"/>
        <w:rPr>
          <w:b/>
          <w:iCs/>
          <w:szCs w:val="24"/>
        </w:rPr>
      </w:pPr>
      <w:r w:rsidRPr="00BD4DE0">
        <w:rPr>
          <w:b/>
          <w:iCs/>
          <w:szCs w:val="24"/>
        </w:rPr>
        <w:t>Broj radova na SCI listi: 3</w:t>
      </w:r>
      <w:r w:rsidR="00BD4DE0">
        <w:rPr>
          <w:b/>
          <w:iCs/>
          <w:szCs w:val="24"/>
        </w:rPr>
        <w:t>4</w:t>
      </w:r>
    </w:p>
    <w:p w14:paraId="2A8A31E5" w14:textId="77777777" w:rsidR="009739C4" w:rsidRPr="00BD4DE0" w:rsidRDefault="009739C4" w:rsidP="00BD4DE0">
      <w:pPr>
        <w:pStyle w:val="ListParagraph"/>
        <w:suppressAutoHyphens w:val="0"/>
        <w:ind w:left="0"/>
        <w:jc w:val="both"/>
        <w:rPr>
          <w:bCs/>
          <w:iCs/>
          <w:szCs w:val="24"/>
        </w:rPr>
      </w:pPr>
    </w:p>
    <w:p w14:paraId="12A8E2AE" w14:textId="77777777" w:rsidR="009739C4" w:rsidRPr="00BD4DE0" w:rsidRDefault="00000000" w:rsidP="00BD4DE0">
      <w:pPr>
        <w:pStyle w:val="ListParagraph"/>
        <w:suppressAutoHyphens w:val="0"/>
        <w:ind w:left="0"/>
        <w:jc w:val="both"/>
        <w:rPr>
          <w:bCs/>
          <w:iCs/>
          <w:szCs w:val="24"/>
        </w:rPr>
      </w:pPr>
      <w:r w:rsidRPr="00BD4DE0">
        <w:rPr>
          <w:bCs/>
          <w:iCs/>
          <w:szCs w:val="24"/>
        </w:rPr>
        <w:t>Poznavanje stranih jezika: engleski i ruski.</w:t>
      </w:r>
    </w:p>
    <w:p w14:paraId="740CE16F" w14:textId="77777777" w:rsidR="009739C4" w:rsidRPr="00BD4DE0" w:rsidRDefault="009739C4" w:rsidP="00BD4DE0">
      <w:pPr>
        <w:pStyle w:val="ListParagraph"/>
        <w:suppressAutoHyphens w:val="0"/>
        <w:ind w:left="0"/>
        <w:jc w:val="both"/>
        <w:rPr>
          <w:bCs/>
          <w:iCs/>
          <w:szCs w:val="24"/>
        </w:rPr>
      </w:pPr>
    </w:p>
    <w:p w14:paraId="57E309F8" w14:textId="45AC645B" w:rsidR="009739C4" w:rsidRDefault="009739C4" w:rsidP="00BD4DE0">
      <w:pPr>
        <w:jc w:val="both"/>
        <w:rPr>
          <w:rFonts w:ascii="Times New Roman" w:hAnsi="Times New Roman" w:cs="Times New Roman"/>
          <w:b/>
          <w:bCs/>
          <w:i/>
          <w:iCs/>
          <w:szCs w:val="24"/>
        </w:rPr>
      </w:pPr>
    </w:p>
    <w:p w14:paraId="0192C896" w14:textId="77777777" w:rsidR="00BD4DE0" w:rsidRPr="00BD4DE0" w:rsidRDefault="00BD4DE0" w:rsidP="00BD4DE0">
      <w:pPr>
        <w:jc w:val="both"/>
        <w:rPr>
          <w:rFonts w:ascii="Times New Roman" w:hAnsi="Times New Roman" w:cs="Times New Roman"/>
          <w:b/>
          <w:bCs/>
          <w:i/>
          <w:iCs/>
          <w:szCs w:val="24"/>
        </w:rPr>
      </w:pPr>
    </w:p>
    <w:p w14:paraId="3C024111" w14:textId="0CDB8931" w:rsidR="009739C4" w:rsidRPr="00BD4DE0" w:rsidRDefault="00000000" w:rsidP="00BD4DE0">
      <w:pPr>
        <w:jc w:val="both"/>
        <w:rPr>
          <w:rStyle w:val="Hyperlink"/>
          <w:rFonts w:ascii="Times New Roman" w:hAnsi="Times New Roman" w:cs="Times New Roman"/>
          <w:szCs w:val="24"/>
        </w:rPr>
      </w:pPr>
      <w:r w:rsidRPr="00BD4DE0">
        <w:rPr>
          <w:rFonts w:ascii="Times New Roman" w:hAnsi="Times New Roman" w:cs="Times New Roman"/>
          <w:szCs w:val="24"/>
        </w:rPr>
        <w:t xml:space="preserve">Gostujući urednik u časopisu </w:t>
      </w:r>
      <w:r w:rsidRPr="00BD4DE0">
        <w:rPr>
          <w:rFonts w:ascii="Times New Roman" w:hAnsi="Times New Roman" w:cs="Times New Roman"/>
          <w:i/>
          <w:iCs/>
          <w:szCs w:val="24"/>
        </w:rPr>
        <w:t>Energy, Sustainability and Society</w:t>
      </w:r>
      <w:r w:rsidRPr="00BD4DE0">
        <w:rPr>
          <w:rFonts w:ascii="Times New Roman" w:hAnsi="Times New Roman" w:cs="Times New Roman"/>
          <w:szCs w:val="24"/>
        </w:rPr>
        <w:t xml:space="preserve"> (izdavač Springer), </w:t>
      </w:r>
      <w:r w:rsidR="003C7B9C" w:rsidRPr="00BD4DE0">
        <w:rPr>
          <w:rFonts w:ascii="Times New Roman" w:hAnsi="Times New Roman" w:cs="Times New Roman"/>
          <w:szCs w:val="24"/>
        </w:rPr>
        <w:t xml:space="preserve">za posebno izdanje </w:t>
      </w:r>
      <w:r w:rsidR="003C7B9C" w:rsidRPr="00BD4DE0">
        <w:rPr>
          <w:rFonts w:ascii="Times New Roman" w:hAnsi="Times New Roman" w:cs="Times New Roman"/>
          <w:szCs w:val="24"/>
        </w:rPr>
        <w:t>„Green Deal - Recovery plan for Europe: current status and challenges in developing and developed European countries“ (</w:t>
      </w:r>
      <w:hyperlink r:id="rId9" w:history="1">
        <w:r w:rsidR="003C7B9C" w:rsidRPr="00BD4DE0">
          <w:rPr>
            <w:rStyle w:val="Hyperlink"/>
            <w:rFonts w:ascii="Times New Roman" w:hAnsi="Times New Roman" w:cs="Times New Roman"/>
            <w:szCs w:val="24"/>
          </w:rPr>
          <w:t>https://energsustainsoc.biomedcentral.com/greendealrec</w:t>
        </w:r>
      </w:hyperlink>
      <w:r w:rsidR="003C7B9C" w:rsidRPr="00BD4DE0">
        <w:rPr>
          <w:rFonts w:ascii="Times New Roman" w:hAnsi="Times New Roman" w:cs="Times New Roman"/>
          <w:szCs w:val="24"/>
        </w:rPr>
        <w:t xml:space="preserve"> </w:t>
      </w:r>
      <w:r w:rsidR="003C7B9C" w:rsidRPr="00BD4DE0">
        <w:rPr>
          <w:rFonts w:ascii="Times New Roman" w:hAnsi="Times New Roman" w:cs="Times New Roman"/>
          <w:szCs w:val="24"/>
        </w:rPr>
        <w:t>).</w:t>
      </w:r>
    </w:p>
    <w:p w14:paraId="23E21D92" w14:textId="77777777" w:rsidR="003C7B9C" w:rsidRPr="00BD4DE0" w:rsidRDefault="003C7B9C" w:rsidP="00BD4DE0">
      <w:pPr>
        <w:jc w:val="both"/>
        <w:rPr>
          <w:rFonts w:ascii="Times New Roman" w:hAnsi="Times New Roman" w:cs="Times New Roman"/>
          <w:szCs w:val="24"/>
        </w:rPr>
      </w:pPr>
    </w:p>
    <w:p w14:paraId="6D5E72DD" w14:textId="01548E42" w:rsidR="003C7B9C" w:rsidRPr="00BD4DE0" w:rsidRDefault="003C7B9C" w:rsidP="00BD4DE0">
      <w:pPr>
        <w:jc w:val="both"/>
        <w:rPr>
          <w:rFonts w:ascii="Times New Roman" w:hAnsi="Times New Roman" w:cs="Times New Roman"/>
          <w:szCs w:val="24"/>
        </w:rPr>
      </w:pPr>
      <w:r w:rsidRPr="00BD4DE0">
        <w:rPr>
          <w:rFonts w:ascii="Times New Roman" w:hAnsi="Times New Roman" w:cs="Times New Roman"/>
          <w:szCs w:val="24"/>
        </w:rPr>
        <w:t>Gostujući urednik u časopisu Energy, Sustainability and Society (izdavač Springer), za posebno izdanje „Shaping a new energy sustainability for the European Society after 2022: analysis, challenges and perspectives“ (</w:t>
      </w:r>
      <w:hyperlink r:id="rId10" w:history="1">
        <w:r w:rsidRPr="00BD4DE0">
          <w:rPr>
            <w:rStyle w:val="Hyperlink"/>
            <w:rFonts w:ascii="Times New Roman" w:hAnsi="Times New Roman" w:cs="Times New Roman"/>
            <w:szCs w:val="24"/>
          </w:rPr>
          <w:t>https://www.biomedcentral.com/collections/greendeal23</w:t>
        </w:r>
      </w:hyperlink>
      <w:r w:rsidRPr="00BD4DE0">
        <w:rPr>
          <w:rFonts w:ascii="Times New Roman" w:hAnsi="Times New Roman" w:cs="Times New Roman"/>
          <w:szCs w:val="24"/>
        </w:rPr>
        <w:t xml:space="preserve"> </w:t>
      </w:r>
      <w:r w:rsidRPr="00BD4DE0">
        <w:rPr>
          <w:rFonts w:ascii="Times New Roman" w:hAnsi="Times New Roman" w:cs="Times New Roman"/>
          <w:szCs w:val="24"/>
        </w:rPr>
        <w:t>).</w:t>
      </w:r>
    </w:p>
    <w:p w14:paraId="636224B2" w14:textId="77777777" w:rsidR="003C7B9C" w:rsidRPr="00BD4DE0" w:rsidRDefault="003C7B9C" w:rsidP="00BD4DE0">
      <w:pPr>
        <w:jc w:val="both"/>
        <w:rPr>
          <w:rFonts w:ascii="Times New Roman" w:hAnsi="Times New Roman" w:cs="Times New Roman"/>
          <w:szCs w:val="24"/>
        </w:rPr>
      </w:pPr>
    </w:p>
    <w:p w14:paraId="6A904A23" w14:textId="2F577D01" w:rsidR="009739C4" w:rsidRPr="00BD4DE0" w:rsidRDefault="00065158" w:rsidP="00BD4DE0">
      <w:pPr>
        <w:widowControl/>
        <w:suppressAutoHyphens w:val="0"/>
        <w:jc w:val="both"/>
        <w:textAlignment w:val="auto"/>
        <w:rPr>
          <w:rFonts w:ascii="Times New Roman" w:eastAsia="Times New Roman" w:hAnsi="Times New Roman" w:cs="Times New Roman"/>
          <w:b/>
          <w:bCs/>
          <w:color w:val="000000"/>
          <w:szCs w:val="24"/>
        </w:rPr>
      </w:pPr>
      <w:r w:rsidRPr="00BD4DE0">
        <w:rPr>
          <w:rFonts w:ascii="Times New Roman" w:eastAsia="Times New Roman" w:hAnsi="Times New Roman" w:cs="Times New Roman"/>
          <w:b/>
          <w:bCs/>
          <w:color w:val="000000"/>
          <w:szCs w:val="24"/>
        </w:rPr>
        <w:t>Najznačajnije naučne publikacije:</w:t>
      </w:r>
    </w:p>
    <w:p w14:paraId="4A635126" w14:textId="77777777" w:rsidR="00065158" w:rsidRPr="00BD4DE0" w:rsidRDefault="00065158" w:rsidP="00BD4DE0">
      <w:pPr>
        <w:widowControl/>
        <w:suppressAutoHyphens w:val="0"/>
        <w:jc w:val="both"/>
        <w:textAlignment w:val="auto"/>
        <w:rPr>
          <w:rFonts w:ascii="Times New Roman" w:eastAsia="Times New Roman" w:hAnsi="Times New Roman" w:cs="Times New Roman"/>
          <w:b/>
          <w:bCs/>
          <w:color w:val="000000"/>
          <w:szCs w:val="24"/>
        </w:rPr>
      </w:pPr>
    </w:p>
    <w:p w14:paraId="14B6D234" w14:textId="1427A153" w:rsidR="00065158" w:rsidRPr="00BD4DE0" w:rsidRDefault="00065158" w:rsidP="00BD4DE0">
      <w:pPr>
        <w:widowControl/>
        <w:suppressAutoHyphens w:val="0"/>
        <w:jc w:val="both"/>
        <w:textAlignment w:val="auto"/>
        <w:rPr>
          <w:rFonts w:ascii="Times New Roman" w:eastAsia="Times New Roman" w:hAnsi="Times New Roman" w:cs="Times New Roman"/>
          <w:color w:val="000000"/>
          <w:szCs w:val="24"/>
        </w:rPr>
      </w:pPr>
      <w:r w:rsidRPr="00BD4DE0">
        <w:rPr>
          <w:rFonts w:ascii="Times New Roman" w:eastAsia="Times New Roman" w:hAnsi="Times New Roman" w:cs="Times New Roman"/>
          <w:color w:val="000000"/>
          <w:szCs w:val="24"/>
        </w:rPr>
        <w:t>M11 – 2</w:t>
      </w:r>
    </w:p>
    <w:p w14:paraId="4F64ADD1" w14:textId="1F0FABD3" w:rsidR="00065158" w:rsidRPr="00BD4DE0" w:rsidRDefault="00065158" w:rsidP="00BD4DE0">
      <w:pPr>
        <w:widowControl/>
        <w:suppressAutoHyphens w:val="0"/>
        <w:jc w:val="both"/>
        <w:textAlignment w:val="auto"/>
        <w:rPr>
          <w:rFonts w:ascii="Times New Roman" w:eastAsia="Times New Roman" w:hAnsi="Times New Roman" w:cs="Times New Roman"/>
          <w:color w:val="000000"/>
          <w:szCs w:val="24"/>
        </w:rPr>
      </w:pPr>
      <w:r w:rsidRPr="00BD4DE0">
        <w:rPr>
          <w:rFonts w:ascii="Times New Roman" w:eastAsia="Times New Roman" w:hAnsi="Times New Roman" w:cs="Times New Roman"/>
          <w:color w:val="000000"/>
          <w:szCs w:val="24"/>
        </w:rPr>
        <w:t>M14 - 4</w:t>
      </w:r>
    </w:p>
    <w:p w14:paraId="39DD21CB" w14:textId="0019FFF3" w:rsidR="00065158" w:rsidRPr="00BD4DE0" w:rsidRDefault="00065158" w:rsidP="00BD4DE0">
      <w:pPr>
        <w:widowControl/>
        <w:suppressAutoHyphens w:val="0"/>
        <w:jc w:val="both"/>
        <w:textAlignment w:val="auto"/>
        <w:rPr>
          <w:rFonts w:ascii="Times New Roman" w:eastAsia="Times New Roman" w:hAnsi="Times New Roman" w:cs="Times New Roman"/>
          <w:color w:val="000000"/>
          <w:szCs w:val="24"/>
        </w:rPr>
      </w:pPr>
      <w:r w:rsidRPr="00BD4DE0">
        <w:rPr>
          <w:rFonts w:ascii="Times New Roman" w:eastAsia="Times New Roman" w:hAnsi="Times New Roman" w:cs="Times New Roman"/>
          <w:color w:val="000000"/>
          <w:szCs w:val="24"/>
        </w:rPr>
        <w:t>M21a – 15</w:t>
      </w:r>
    </w:p>
    <w:p w14:paraId="2ABB2895" w14:textId="007CCF5E" w:rsidR="00065158" w:rsidRPr="00BD4DE0" w:rsidRDefault="00065158" w:rsidP="00BD4DE0">
      <w:pPr>
        <w:widowControl/>
        <w:suppressAutoHyphens w:val="0"/>
        <w:jc w:val="both"/>
        <w:textAlignment w:val="auto"/>
        <w:rPr>
          <w:rFonts w:ascii="Times New Roman" w:eastAsia="Times New Roman" w:hAnsi="Times New Roman" w:cs="Times New Roman"/>
          <w:color w:val="000000"/>
          <w:szCs w:val="24"/>
        </w:rPr>
      </w:pPr>
      <w:r w:rsidRPr="00BD4DE0">
        <w:rPr>
          <w:rFonts w:ascii="Times New Roman" w:eastAsia="Times New Roman" w:hAnsi="Times New Roman" w:cs="Times New Roman"/>
          <w:color w:val="000000"/>
          <w:szCs w:val="24"/>
        </w:rPr>
        <w:t>M21 – 7</w:t>
      </w:r>
    </w:p>
    <w:p w14:paraId="4932FD97" w14:textId="3F8F479A" w:rsidR="00065158" w:rsidRPr="00BD4DE0" w:rsidRDefault="00065158" w:rsidP="00BD4DE0">
      <w:pPr>
        <w:widowControl/>
        <w:suppressAutoHyphens w:val="0"/>
        <w:jc w:val="both"/>
        <w:textAlignment w:val="auto"/>
        <w:rPr>
          <w:rFonts w:ascii="Times New Roman" w:eastAsia="Times New Roman" w:hAnsi="Times New Roman" w:cs="Times New Roman"/>
          <w:color w:val="000000"/>
          <w:szCs w:val="24"/>
        </w:rPr>
      </w:pPr>
      <w:r w:rsidRPr="00BD4DE0">
        <w:rPr>
          <w:rFonts w:ascii="Times New Roman" w:eastAsia="Times New Roman" w:hAnsi="Times New Roman" w:cs="Times New Roman"/>
          <w:color w:val="000000"/>
          <w:szCs w:val="24"/>
        </w:rPr>
        <w:t>M22 – 6</w:t>
      </w:r>
    </w:p>
    <w:p w14:paraId="0FD249DD" w14:textId="6EA0E967" w:rsidR="00065158" w:rsidRPr="00BD4DE0" w:rsidRDefault="00065158" w:rsidP="00BD4DE0">
      <w:pPr>
        <w:widowControl/>
        <w:suppressAutoHyphens w:val="0"/>
        <w:jc w:val="both"/>
        <w:textAlignment w:val="auto"/>
        <w:rPr>
          <w:rFonts w:ascii="Times New Roman" w:eastAsia="Times New Roman" w:hAnsi="Times New Roman" w:cs="Times New Roman"/>
          <w:color w:val="000000"/>
          <w:szCs w:val="24"/>
        </w:rPr>
      </w:pPr>
      <w:r w:rsidRPr="00BD4DE0">
        <w:rPr>
          <w:rFonts w:ascii="Times New Roman" w:eastAsia="Times New Roman" w:hAnsi="Times New Roman" w:cs="Times New Roman"/>
          <w:color w:val="000000"/>
          <w:szCs w:val="24"/>
        </w:rPr>
        <w:t>M23 – 6</w:t>
      </w:r>
    </w:p>
    <w:p w14:paraId="2E270257" w14:textId="1B35AF5F" w:rsidR="00B64929" w:rsidRPr="00BD4DE0" w:rsidRDefault="00B64929" w:rsidP="00BD4DE0">
      <w:pPr>
        <w:widowControl/>
        <w:suppressAutoHyphens w:val="0"/>
        <w:jc w:val="both"/>
        <w:textAlignment w:val="auto"/>
        <w:rPr>
          <w:rFonts w:ascii="Times New Roman" w:eastAsia="Times New Roman" w:hAnsi="Times New Roman" w:cs="Times New Roman"/>
          <w:color w:val="000000"/>
          <w:szCs w:val="24"/>
        </w:rPr>
      </w:pPr>
      <w:r w:rsidRPr="00BD4DE0">
        <w:rPr>
          <w:rFonts w:ascii="Times New Roman" w:eastAsia="Times New Roman" w:hAnsi="Times New Roman" w:cs="Times New Roman"/>
          <w:color w:val="000000"/>
          <w:szCs w:val="24"/>
        </w:rPr>
        <w:t>M33 – 18</w:t>
      </w:r>
    </w:p>
    <w:p w14:paraId="591C9F9D" w14:textId="759597AA" w:rsidR="00B64929" w:rsidRPr="00BD4DE0" w:rsidRDefault="00B64929" w:rsidP="00BD4DE0">
      <w:pPr>
        <w:widowControl/>
        <w:suppressAutoHyphens w:val="0"/>
        <w:jc w:val="both"/>
        <w:textAlignment w:val="auto"/>
        <w:rPr>
          <w:rFonts w:ascii="Times New Roman" w:eastAsia="Times New Roman" w:hAnsi="Times New Roman" w:cs="Times New Roman"/>
          <w:color w:val="000000"/>
          <w:szCs w:val="24"/>
        </w:rPr>
      </w:pPr>
    </w:p>
    <w:p w14:paraId="2737FCBC" w14:textId="77777777" w:rsidR="003C7B9C" w:rsidRPr="00BD4DE0" w:rsidRDefault="003C7B9C" w:rsidP="00BD4DE0">
      <w:pPr>
        <w:pStyle w:val="ListParagraph"/>
        <w:suppressAutoHyphens w:val="0"/>
        <w:ind w:left="0"/>
        <w:jc w:val="both"/>
        <w:rPr>
          <w:b/>
          <w:szCs w:val="24"/>
        </w:rPr>
      </w:pPr>
      <w:r w:rsidRPr="00BD4DE0">
        <w:rPr>
          <w:b/>
          <w:szCs w:val="24"/>
        </w:rPr>
        <w:t>M11</w:t>
      </w:r>
    </w:p>
    <w:p w14:paraId="5640590E" w14:textId="77777777" w:rsidR="00065158" w:rsidRPr="00BD4DE0" w:rsidRDefault="003C7B9C" w:rsidP="00BD4DE0">
      <w:pPr>
        <w:pStyle w:val="Heading2"/>
        <w:numPr>
          <w:ilvl w:val="0"/>
          <w:numId w:val="33"/>
        </w:numPr>
        <w:suppressAutoHyphens w:val="0"/>
        <w:autoSpaceDN/>
        <w:textAlignment w:val="auto"/>
        <w:rPr>
          <w:rStyle w:val="InternetLink0"/>
          <w:rFonts w:ascii="Times New Roman" w:eastAsia="Calibri" w:hAnsi="Times New Roman" w:cs="Times New Roman"/>
          <w:color w:val="auto"/>
          <w:sz w:val="24"/>
          <w:szCs w:val="24"/>
          <w:u w:val="none"/>
        </w:rPr>
      </w:pPr>
      <w:r w:rsidRPr="00BD4DE0">
        <w:rPr>
          <w:rFonts w:ascii="Times New Roman" w:hAnsi="Times New Roman" w:cs="Times New Roman"/>
          <w:i w:val="0"/>
          <w:sz w:val="24"/>
          <w:szCs w:val="24"/>
        </w:rPr>
        <w:t xml:space="preserve">Radovanović (Golušin) Mirjana, </w:t>
      </w:r>
      <w:r w:rsidRPr="00BD4DE0">
        <w:rPr>
          <w:rFonts w:ascii="Times New Roman" w:hAnsi="Times New Roman" w:cs="Times New Roman"/>
          <w:b w:val="0"/>
          <w:bCs w:val="0"/>
          <w:i w:val="0"/>
          <w:sz w:val="24"/>
          <w:szCs w:val="24"/>
        </w:rPr>
        <w:t xml:space="preserve">Dodić Siniša, Popov Stevan: </w:t>
      </w:r>
      <w:r w:rsidRPr="00BD4DE0">
        <w:rPr>
          <w:rFonts w:ascii="Times New Roman" w:hAnsi="Times New Roman" w:cs="Times New Roman"/>
          <w:b w:val="0"/>
          <w:bCs w:val="0"/>
          <w:sz w:val="24"/>
          <w:szCs w:val="24"/>
        </w:rPr>
        <w:t>Sustainable Energy Management</w:t>
      </w:r>
      <w:r w:rsidRPr="00BD4DE0">
        <w:rPr>
          <w:rFonts w:ascii="Times New Roman" w:hAnsi="Times New Roman" w:cs="Times New Roman"/>
          <w:b w:val="0"/>
          <w:bCs w:val="0"/>
          <w:i w:val="0"/>
          <w:sz w:val="24"/>
          <w:szCs w:val="24"/>
        </w:rPr>
        <w:t>, 1</w:t>
      </w:r>
      <w:r w:rsidRPr="00BD4DE0">
        <w:rPr>
          <w:rFonts w:ascii="Times New Roman" w:hAnsi="Times New Roman" w:cs="Times New Roman"/>
          <w:b w:val="0"/>
          <w:bCs w:val="0"/>
          <w:i w:val="0"/>
          <w:sz w:val="24"/>
          <w:szCs w:val="24"/>
          <w:vertAlign w:val="superscript"/>
        </w:rPr>
        <w:t>st</w:t>
      </w:r>
      <w:r w:rsidRPr="00BD4DE0">
        <w:rPr>
          <w:rFonts w:ascii="Times New Roman" w:hAnsi="Times New Roman" w:cs="Times New Roman"/>
          <w:b w:val="0"/>
          <w:bCs w:val="0"/>
          <w:i w:val="0"/>
          <w:sz w:val="24"/>
          <w:szCs w:val="24"/>
        </w:rPr>
        <w:t xml:space="preserve"> Edition, Elsevier – Oxford Academic press, 2013.</w:t>
      </w:r>
      <w:r w:rsidRPr="00BD4DE0">
        <w:rPr>
          <w:rFonts w:ascii="Times New Roman" w:hAnsi="Times New Roman" w:cs="Times New Roman"/>
          <w:sz w:val="24"/>
          <w:szCs w:val="24"/>
        </w:rPr>
        <w:t xml:space="preserve"> </w:t>
      </w:r>
      <w:hyperlink r:id="rId11">
        <w:r w:rsidRPr="00BD4DE0">
          <w:rPr>
            <w:rStyle w:val="InternetLink0"/>
            <w:rFonts w:ascii="Times New Roman" w:eastAsia="Calibri" w:hAnsi="Times New Roman" w:cs="Times New Roman"/>
            <w:b w:val="0"/>
            <w:bCs w:val="0"/>
            <w:i w:val="0"/>
            <w:iCs w:val="0"/>
            <w:sz w:val="24"/>
            <w:szCs w:val="24"/>
          </w:rPr>
          <w:t>http://store.elsevier.com/product.jsp?isbn=9780123914279&amp;pagename=search</w:t>
        </w:r>
      </w:hyperlink>
    </w:p>
    <w:p w14:paraId="3348A11D" w14:textId="31E5C196" w:rsidR="003C7B9C" w:rsidRPr="00BD4DE0" w:rsidRDefault="003C7B9C" w:rsidP="00BD4DE0">
      <w:pPr>
        <w:pStyle w:val="Heading2"/>
        <w:numPr>
          <w:ilvl w:val="0"/>
          <w:numId w:val="33"/>
        </w:numPr>
        <w:suppressAutoHyphens w:val="0"/>
        <w:autoSpaceDN/>
        <w:textAlignment w:val="auto"/>
        <w:rPr>
          <w:rFonts w:ascii="Times New Roman" w:eastAsia="Calibri" w:hAnsi="Times New Roman" w:cs="Times New Roman"/>
          <w:sz w:val="24"/>
          <w:szCs w:val="24"/>
        </w:rPr>
      </w:pPr>
      <w:r w:rsidRPr="00BD4DE0">
        <w:rPr>
          <w:rFonts w:ascii="Times New Roman" w:eastAsia="Calibri" w:hAnsi="Times New Roman" w:cs="Times New Roman"/>
          <w:i w:val="0"/>
          <w:iCs w:val="0"/>
          <w:sz w:val="24"/>
          <w:szCs w:val="24"/>
        </w:rPr>
        <w:t>Radovanović Mirjana</w:t>
      </w:r>
      <w:r w:rsidRPr="00BD4DE0">
        <w:rPr>
          <w:rFonts w:ascii="Times New Roman" w:eastAsia="Calibri" w:hAnsi="Times New Roman" w:cs="Times New Roman"/>
          <w:b w:val="0"/>
          <w:bCs w:val="0"/>
          <w:i w:val="0"/>
          <w:iCs w:val="0"/>
          <w:sz w:val="24"/>
          <w:szCs w:val="24"/>
        </w:rPr>
        <w:t xml:space="preserve">: Sustainable Energy Management 2nd Edition, Elsevier – Oxford Academic press, 2022, </w:t>
      </w:r>
      <w:hyperlink r:id="rId12" w:history="1">
        <w:r w:rsidRPr="00BD4DE0">
          <w:rPr>
            <w:rStyle w:val="Hyperlink"/>
            <w:rFonts w:ascii="Times New Roman" w:eastAsia="Calibri" w:hAnsi="Times New Roman" w:cs="Times New Roman"/>
            <w:b w:val="0"/>
            <w:bCs w:val="0"/>
            <w:i w:val="0"/>
            <w:iCs w:val="0"/>
            <w:sz w:val="24"/>
            <w:szCs w:val="24"/>
          </w:rPr>
          <w:t>https://www.elsevier.com/books/sustainable-energy-management/radovanovic-golusin/978-0-12-821086-4</w:t>
        </w:r>
      </w:hyperlink>
      <w:r w:rsidRPr="00BD4DE0">
        <w:rPr>
          <w:rFonts w:ascii="Times New Roman" w:eastAsia="Calibri" w:hAnsi="Times New Roman" w:cs="Times New Roman"/>
          <w:b w:val="0"/>
          <w:bCs w:val="0"/>
          <w:i w:val="0"/>
          <w:iCs w:val="0"/>
          <w:sz w:val="24"/>
          <w:szCs w:val="24"/>
        </w:rPr>
        <w:t xml:space="preserve"> </w:t>
      </w:r>
    </w:p>
    <w:p w14:paraId="7D3723BD" w14:textId="77777777" w:rsidR="003C7B9C" w:rsidRPr="00BD4DE0" w:rsidRDefault="003C7B9C" w:rsidP="00BD4DE0">
      <w:pPr>
        <w:jc w:val="both"/>
        <w:rPr>
          <w:rFonts w:ascii="Times New Roman" w:hAnsi="Times New Roman" w:cs="Times New Roman"/>
          <w:szCs w:val="24"/>
        </w:rPr>
      </w:pPr>
    </w:p>
    <w:p w14:paraId="4762F316" w14:textId="77777777" w:rsidR="003C7B9C" w:rsidRPr="00BD4DE0" w:rsidRDefault="003C7B9C" w:rsidP="00BD4DE0">
      <w:pPr>
        <w:pStyle w:val="ListParagraph"/>
        <w:suppressAutoHyphens w:val="0"/>
        <w:ind w:left="0"/>
        <w:jc w:val="both"/>
        <w:rPr>
          <w:b/>
          <w:iCs/>
          <w:szCs w:val="24"/>
          <w:lang w:val="sr-Latn-RS"/>
        </w:rPr>
      </w:pPr>
      <w:r w:rsidRPr="00BD4DE0">
        <w:rPr>
          <w:b/>
          <w:iCs/>
          <w:szCs w:val="24"/>
          <w:lang w:val="sr-Latn-RS"/>
        </w:rPr>
        <w:t>M14</w:t>
      </w:r>
    </w:p>
    <w:p w14:paraId="3A145C59" w14:textId="77777777" w:rsidR="003C7B9C" w:rsidRPr="00BD4DE0" w:rsidRDefault="003C7B9C" w:rsidP="00BD4DE0">
      <w:pPr>
        <w:pStyle w:val="ListParagraph"/>
        <w:suppressAutoHyphens w:val="0"/>
        <w:ind w:left="0"/>
        <w:jc w:val="both"/>
        <w:rPr>
          <w:b/>
          <w:i/>
          <w:szCs w:val="24"/>
          <w:u w:val="single"/>
          <w:lang w:val="sr-Latn-RS"/>
        </w:rPr>
      </w:pPr>
    </w:p>
    <w:p w14:paraId="1B9F412B" w14:textId="77777777" w:rsidR="003C7B9C" w:rsidRPr="00BD4DE0" w:rsidRDefault="003C7B9C" w:rsidP="00BD4DE0">
      <w:pPr>
        <w:pStyle w:val="ListParagraph"/>
        <w:numPr>
          <w:ilvl w:val="0"/>
          <w:numId w:val="30"/>
        </w:numPr>
        <w:suppressAutoHyphens w:val="0"/>
        <w:autoSpaceDN/>
        <w:contextualSpacing/>
        <w:jc w:val="both"/>
        <w:textAlignment w:val="auto"/>
        <w:rPr>
          <w:szCs w:val="24"/>
        </w:rPr>
      </w:pPr>
      <w:r w:rsidRPr="00BD4DE0">
        <w:rPr>
          <w:szCs w:val="24"/>
        </w:rPr>
        <w:t xml:space="preserve">Olga Mirković Isaeva, Bojana Vasić, </w:t>
      </w:r>
      <w:r w:rsidRPr="00BD4DE0">
        <w:rPr>
          <w:b/>
          <w:szCs w:val="24"/>
        </w:rPr>
        <w:t>Mirjana Radovanović</w:t>
      </w:r>
      <w:r w:rsidRPr="00BD4DE0">
        <w:rPr>
          <w:szCs w:val="24"/>
        </w:rPr>
        <w:t xml:space="preserve"> (2018) Ensuring global energy security – the role of Russian energy policy. In: Radovanović, M (Ed.) Energy Security: Perspectives, Improvement Strategies and Challenges, NOVA PUBLISHERS, ISBN: 978-1-53613-508-4. COBISS.SR-ID 321990407.</w:t>
      </w:r>
    </w:p>
    <w:p w14:paraId="4793D727" w14:textId="77777777" w:rsidR="003C7B9C" w:rsidRPr="00BD4DE0" w:rsidRDefault="003C7B9C" w:rsidP="00BD4DE0">
      <w:pPr>
        <w:pStyle w:val="ListParagraph"/>
        <w:suppressAutoHyphens w:val="0"/>
        <w:jc w:val="both"/>
        <w:rPr>
          <w:szCs w:val="24"/>
        </w:rPr>
      </w:pPr>
      <w:hyperlink r:id="rId13" w:history="1">
        <w:r w:rsidRPr="00BD4DE0">
          <w:rPr>
            <w:rStyle w:val="Hyperlink"/>
            <w:szCs w:val="24"/>
          </w:rPr>
          <w:t>https://novapublishers.com/shop/energy-security-perspectives-improvement-strategies-and-challenges/</w:t>
        </w:r>
      </w:hyperlink>
      <w:r w:rsidRPr="00BD4DE0">
        <w:rPr>
          <w:szCs w:val="24"/>
        </w:rPr>
        <w:t xml:space="preserve">   </w:t>
      </w:r>
    </w:p>
    <w:p w14:paraId="0DB1C66B" w14:textId="77777777" w:rsidR="003C7B9C" w:rsidRPr="00BD4DE0" w:rsidRDefault="003C7B9C" w:rsidP="00BD4DE0">
      <w:pPr>
        <w:pStyle w:val="ListParagraph"/>
        <w:numPr>
          <w:ilvl w:val="0"/>
          <w:numId w:val="30"/>
        </w:numPr>
        <w:suppressAutoHyphens w:val="0"/>
        <w:autoSpaceDN/>
        <w:contextualSpacing/>
        <w:jc w:val="both"/>
        <w:textAlignment w:val="auto"/>
        <w:rPr>
          <w:szCs w:val="24"/>
        </w:rPr>
      </w:pPr>
      <w:r w:rsidRPr="00BD4DE0">
        <w:rPr>
          <w:b/>
          <w:bCs/>
          <w:szCs w:val="24"/>
        </w:rPr>
        <w:t xml:space="preserve">Golušin M. </w:t>
      </w:r>
      <w:r w:rsidRPr="00BD4DE0">
        <w:rPr>
          <w:bCs/>
          <w:szCs w:val="24"/>
        </w:rPr>
        <w:t>(2013)</w:t>
      </w:r>
      <w:r w:rsidRPr="00BD4DE0">
        <w:rPr>
          <w:szCs w:val="24"/>
        </w:rPr>
        <w:t xml:space="preserve"> </w:t>
      </w:r>
      <w:bookmarkStart w:id="0" w:name="_Toc332816764"/>
      <w:bookmarkStart w:id="1" w:name="_Toc332816828"/>
      <w:bookmarkStart w:id="2" w:name="_Toc332974473"/>
      <w:bookmarkStart w:id="3" w:name="_Toc342412164"/>
      <w:r w:rsidRPr="00BD4DE0">
        <w:rPr>
          <w:i/>
          <w:szCs w:val="24"/>
        </w:rPr>
        <w:t>Sustainable EU Monitoring – Efficiency</w:t>
      </w:r>
      <w:r w:rsidRPr="00BD4DE0">
        <w:rPr>
          <w:szCs w:val="24"/>
        </w:rPr>
        <w:fldChar w:fldCharType="begin"/>
      </w:r>
      <w:r w:rsidRPr="00BD4DE0">
        <w:rPr>
          <w:szCs w:val="24"/>
        </w:rPr>
        <w:instrText>XE "Efficiency: "</w:instrText>
      </w:r>
      <w:r w:rsidRPr="00BD4DE0">
        <w:rPr>
          <w:szCs w:val="24"/>
        </w:rPr>
        <w:fldChar w:fldCharType="end"/>
      </w:r>
      <w:r w:rsidRPr="00BD4DE0">
        <w:rPr>
          <w:i/>
          <w:szCs w:val="24"/>
        </w:rPr>
        <w:t xml:space="preserve"> of Consumption</w:t>
      </w:r>
      <w:r w:rsidRPr="00BD4DE0">
        <w:rPr>
          <w:szCs w:val="24"/>
        </w:rPr>
        <w:fldChar w:fldCharType="begin"/>
      </w:r>
      <w:r w:rsidRPr="00BD4DE0">
        <w:rPr>
          <w:szCs w:val="24"/>
        </w:rPr>
        <w:instrText>XE "Energy consumption: "</w:instrText>
      </w:r>
      <w:r w:rsidRPr="00BD4DE0">
        <w:rPr>
          <w:szCs w:val="24"/>
        </w:rPr>
        <w:fldChar w:fldCharType="end"/>
      </w:r>
      <w:r w:rsidRPr="00BD4DE0">
        <w:rPr>
          <w:i/>
          <w:szCs w:val="24"/>
        </w:rPr>
        <w:t xml:space="preserve"> of Energy Resources</w:t>
      </w:r>
      <w:bookmarkEnd w:id="0"/>
      <w:bookmarkEnd w:id="1"/>
      <w:bookmarkEnd w:id="2"/>
      <w:bookmarkEnd w:id="3"/>
      <w:r w:rsidRPr="00BD4DE0">
        <w:rPr>
          <w:szCs w:val="24"/>
        </w:rPr>
        <w:t xml:space="preserve">, Chapter 9 in:  Energy:  Modern energy storage, conversion, and transmission in the 21st century, Nova Science Publishers, Inc., Hauppauge, NY, USA, 2013. </w:t>
      </w:r>
    </w:p>
    <w:p w14:paraId="7815A2C7" w14:textId="77777777" w:rsidR="003C7B9C" w:rsidRPr="00BD4DE0" w:rsidRDefault="003C7B9C" w:rsidP="00BD4DE0">
      <w:pPr>
        <w:pStyle w:val="ListParagraph"/>
        <w:tabs>
          <w:tab w:val="left" w:pos="426"/>
        </w:tabs>
        <w:suppressAutoHyphens w:val="0"/>
        <w:jc w:val="both"/>
        <w:rPr>
          <w:szCs w:val="24"/>
        </w:rPr>
      </w:pPr>
      <w:hyperlink r:id="rId14">
        <w:r w:rsidRPr="00BD4DE0">
          <w:rPr>
            <w:rStyle w:val="InternetLink0"/>
            <w:szCs w:val="24"/>
          </w:rPr>
          <w:t>https://www.novapublishers.com/catalog/product_info.php?products_id=40662</w:t>
        </w:r>
      </w:hyperlink>
    </w:p>
    <w:p w14:paraId="71129710" w14:textId="77777777" w:rsidR="003C7B9C" w:rsidRPr="00BD4DE0" w:rsidRDefault="003C7B9C" w:rsidP="00BD4DE0">
      <w:pPr>
        <w:pStyle w:val="ListParagraph"/>
        <w:numPr>
          <w:ilvl w:val="0"/>
          <w:numId w:val="30"/>
        </w:numPr>
        <w:suppressAutoHyphens w:val="0"/>
        <w:autoSpaceDN/>
        <w:contextualSpacing/>
        <w:jc w:val="both"/>
        <w:textAlignment w:val="auto"/>
        <w:rPr>
          <w:b/>
          <w:bCs/>
          <w:szCs w:val="24"/>
        </w:rPr>
      </w:pPr>
      <w:r w:rsidRPr="00BD4DE0">
        <w:rPr>
          <w:b/>
          <w:szCs w:val="24"/>
        </w:rPr>
        <w:t>Golušin M</w:t>
      </w:r>
      <w:r w:rsidRPr="00BD4DE0">
        <w:rPr>
          <w:b/>
          <w:bCs/>
          <w:szCs w:val="24"/>
        </w:rPr>
        <w:t xml:space="preserve">, </w:t>
      </w:r>
      <w:r w:rsidRPr="00BD4DE0">
        <w:rPr>
          <w:bCs/>
          <w:szCs w:val="24"/>
        </w:rPr>
        <w:t xml:space="preserve">Schlör H., Hake J. F.  (2013) </w:t>
      </w:r>
      <w:r w:rsidRPr="00BD4DE0">
        <w:rPr>
          <w:bCs/>
          <w:i/>
          <w:szCs w:val="24"/>
        </w:rPr>
        <w:t>Case Study: Economic Index of Energy Security - Monetization of All Costs Approach</w:t>
      </w:r>
      <w:r w:rsidRPr="00BD4DE0">
        <w:rPr>
          <w:bCs/>
          <w:szCs w:val="24"/>
        </w:rPr>
        <w:t xml:space="preserve">, Chapter 10 in: Energy:  Modern energy storage, conversion, and transmission in the 21st century, Nova Science Publishers, Inc., Hauppauge, NY, USA, 2013. </w:t>
      </w:r>
    </w:p>
    <w:p w14:paraId="713A3ADE" w14:textId="77777777" w:rsidR="003C7B9C" w:rsidRPr="00BD4DE0" w:rsidRDefault="003C7B9C" w:rsidP="00BD4DE0">
      <w:pPr>
        <w:pStyle w:val="ListParagraph"/>
        <w:jc w:val="both"/>
        <w:rPr>
          <w:szCs w:val="24"/>
        </w:rPr>
      </w:pPr>
      <w:hyperlink r:id="rId15">
        <w:r w:rsidRPr="00BD4DE0">
          <w:rPr>
            <w:rStyle w:val="InternetLink0"/>
            <w:bCs/>
            <w:szCs w:val="24"/>
          </w:rPr>
          <w:t>https://www.novapublishers.com/catalog/product_info.php?products_id=40662</w:t>
        </w:r>
      </w:hyperlink>
    </w:p>
    <w:p w14:paraId="020281EE" w14:textId="06D76329" w:rsidR="003C7B9C" w:rsidRPr="00BD4DE0" w:rsidRDefault="003C7B9C" w:rsidP="00BD4DE0">
      <w:pPr>
        <w:pStyle w:val="ListParagraph"/>
        <w:numPr>
          <w:ilvl w:val="0"/>
          <w:numId w:val="30"/>
        </w:numPr>
        <w:autoSpaceDN/>
        <w:contextualSpacing/>
        <w:jc w:val="both"/>
        <w:textAlignment w:val="auto"/>
        <w:rPr>
          <w:szCs w:val="24"/>
        </w:rPr>
      </w:pPr>
      <w:r w:rsidRPr="00BD4DE0">
        <w:rPr>
          <w:b/>
          <w:bCs/>
          <w:szCs w:val="24"/>
        </w:rPr>
        <w:lastRenderedPageBreak/>
        <w:t>Golušin M</w:t>
      </w:r>
      <w:r w:rsidRPr="00BD4DE0">
        <w:rPr>
          <w:bCs/>
          <w:szCs w:val="24"/>
        </w:rPr>
        <w:t xml:space="preserve">, Munitlak-Ivanović O. (2012) </w:t>
      </w:r>
      <w:r w:rsidRPr="00BD4DE0">
        <w:rPr>
          <w:bCs/>
          <w:i/>
          <w:szCs w:val="24"/>
        </w:rPr>
        <w:t>Sustainable Energy Management as a Pre-requisite for Sustainable Development: The Case of the Balkans Countries in the Process of the EU Integration</w:t>
      </w:r>
      <w:r w:rsidRPr="00BD4DE0">
        <w:rPr>
          <w:bCs/>
          <w:szCs w:val="24"/>
        </w:rPr>
        <w:t xml:space="preserve">, Chapter 31, International monograph: </w:t>
      </w:r>
      <w:r w:rsidRPr="00BD4DE0">
        <w:rPr>
          <w:bCs/>
          <w:i/>
          <w:szCs w:val="24"/>
        </w:rPr>
        <w:t>European integration process in Western Balkan Countries</w:t>
      </w:r>
      <w:r w:rsidRPr="00BD4DE0">
        <w:rPr>
          <w:bCs/>
          <w:szCs w:val="24"/>
        </w:rPr>
        <w:t>, Faculty of Economics of the University of Coimbra, Coimbra, Portugal, 2012, pg. 608-624 ISBN: 978-972-9344-05-3</w:t>
      </w:r>
      <w:r w:rsidR="00065158" w:rsidRPr="00BD4DE0">
        <w:rPr>
          <w:bCs/>
          <w:szCs w:val="24"/>
        </w:rPr>
        <w:t xml:space="preserve"> </w:t>
      </w:r>
      <w:hyperlink r:id="rId16">
        <w:r w:rsidRPr="00BD4DE0">
          <w:rPr>
            <w:rStyle w:val="InternetLink0"/>
            <w:szCs w:val="24"/>
            <w:lang w:eastAsia="en-US"/>
          </w:rPr>
          <w:t>http://www.ien.bg.ac.rs/images/stories/download/eurointprocess.pdf</w:t>
        </w:r>
      </w:hyperlink>
    </w:p>
    <w:p w14:paraId="353F39D0" w14:textId="77777777" w:rsidR="003C7B9C" w:rsidRPr="00BD4DE0" w:rsidRDefault="003C7B9C" w:rsidP="00BD4DE0">
      <w:pPr>
        <w:pStyle w:val="ListParagraph"/>
        <w:numPr>
          <w:ilvl w:val="0"/>
          <w:numId w:val="30"/>
        </w:numPr>
        <w:autoSpaceDN/>
        <w:contextualSpacing/>
        <w:jc w:val="both"/>
        <w:textAlignment w:val="auto"/>
        <w:rPr>
          <w:szCs w:val="24"/>
        </w:rPr>
      </w:pPr>
      <w:r w:rsidRPr="00BD4DE0">
        <w:rPr>
          <w:szCs w:val="24"/>
        </w:rPr>
        <w:t xml:space="preserve">Munitlak-Ivanović O, </w:t>
      </w:r>
      <w:r w:rsidRPr="00BD4DE0">
        <w:rPr>
          <w:b/>
          <w:szCs w:val="24"/>
        </w:rPr>
        <w:t>Golušin M.</w:t>
      </w:r>
      <w:r w:rsidRPr="00BD4DE0">
        <w:rPr>
          <w:szCs w:val="24"/>
        </w:rPr>
        <w:t xml:space="preserve"> (2012) Strengthening Economic Subjects Internal Capacities – Sustainable Energy Management, Chapter 30, </w:t>
      </w:r>
      <w:r w:rsidRPr="00BD4DE0">
        <w:rPr>
          <w:bCs/>
          <w:szCs w:val="24"/>
        </w:rPr>
        <w:t xml:space="preserve">International monograph: </w:t>
      </w:r>
      <w:r w:rsidRPr="00BD4DE0">
        <w:rPr>
          <w:bCs/>
          <w:i/>
          <w:szCs w:val="24"/>
        </w:rPr>
        <w:t>European integration process in Western Balkan Countries</w:t>
      </w:r>
      <w:r w:rsidRPr="00BD4DE0">
        <w:rPr>
          <w:bCs/>
          <w:szCs w:val="24"/>
        </w:rPr>
        <w:t>, Faculty of Economics of the University of Coimbra, Coimbra, Portugal, 2012, pg. 608-624 ISBN: 978-972-9344-05-3</w:t>
      </w:r>
    </w:p>
    <w:p w14:paraId="5599BCCD" w14:textId="77777777" w:rsidR="003C7B9C" w:rsidRPr="00BD4DE0" w:rsidRDefault="003C7B9C" w:rsidP="00BD4DE0">
      <w:pPr>
        <w:pStyle w:val="ListParagraph"/>
        <w:jc w:val="both"/>
        <w:rPr>
          <w:szCs w:val="24"/>
        </w:rPr>
      </w:pPr>
      <w:hyperlink r:id="rId17">
        <w:r w:rsidRPr="00BD4DE0">
          <w:rPr>
            <w:rStyle w:val="InternetLink0"/>
            <w:szCs w:val="24"/>
            <w:lang w:eastAsia="en-US"/>
          </w:rPr>
          <w:t>http://www.ien.bg.ac.rs/images/stories/download/eurointprocess.pdf</w:t>
        </w:r>
      </w:hyperlink>
    </w:p>
    <w:p w14:paraId="05ECE5F5" w14:textId="77777777" w:rsidR="003C7B9C" w:rsidRPr="00BD4DE0" w:rsidRDefault="003C7B9C" w:rsidP="00BD4DE0">
      <w:pPr>
        <w:pStyle w:val="ListParagraph"/>
        <w:tabs>
          <w:tab w:val="left" w:pos="0"/>
          <w:tab w:val="left" w:pos="284"/>
          <w:tab w:val="left" w:pos="426"/>
        </w:tabs>
        <w:suppressAutoHyphens w:val="0"/>
        <w:ind w:left="0"/>
        <w:jc w:val="both"/>
        <w:rPr>
          <w:b/>
          <w:i/>
          <w:szCs w:val="24"/>
          <w:u w:val="single"/>
        </w:rPr>
      </w:pPr>
    </w:p>
    <w:p w14:paraId="01B69E05" w14:textId="77777777" w:rsidR="003C7B9C" w:rsidRPr="00BD4DE0" w:rsidRDefault="003C7B9C" w:rsidP="00BD4DE0">
      <w:pPr>
        <w:pStyle w:val="ListParagraph"/>
        <w:tabs>
          <w:tab w:val="left" w:pos="0"/>
          <w:tab w:val="left" w:pos="284"/>
          <w:tab w:val="left" w:pos="426"/>
        </w:tabs>
        <w:suppressAutoHyphens w:val="0"/>
        <w:ind w:left="0"/>
        <w:jc w:val="both"/>
        <w:rPr>
          <w:b/>
          <w:iCs/>
          <w:szCs w:val="24"/>
        </w:rPr>
      </w:pPr>
      <w:r w:rsidRPr="00BD4DE0">
        <w:rPr>
          <w:b/>
          <w:iCs/>
          <w:szCs w:val="24"/>
        </w:rPr>
        <w:t>M21a</w:t>
      </w:r>
    </w:p>
    <w:p w14:paraId="55D8D77E" w14:textId="77777777" w:rsidR="003C7B9C" w:rsidRPr="00BD4DE0" w:rsidRDefault="003C7B9C" w:rsidP="00BD4DE0">
      <w:pPr>
        <w:pStyle w:val="ListParagraph"/>
        <w:tabs>
          <w:tab w:val="left" w:pos="0"/>
          <w:tab w:val="left" w:pos="284"/>
          <w:tab w:val="left" w:pos="426"/>
        </w:tabs>
        <w:suppressAutoHyphens w:val="0"/>
        <w:ind w:left="0"/>
        <w:jc w:val="both"/>
        <w:rPr>
          <w:b/>
          <w:iCs/>
          <w:szCs w:val="24"/>
        </w:rPr>
      </w:pPr>
    </w:p>
    <w:p w14:paraId="7ACFE705" w14:textId="77777777" w:rsidR="003C7B9C" w:rsidRPr="00BD4DE0" w:rsidRDefault="003C7B9C" w:rsidP="00BD4DE0">
      <w:pPr>
        <w:pStyle w:val="ListParagraph"/>
        <w:numPr>
          <w:ilvl w:val="0"/>
          <w:numId w:val="32"/>
        </w:numPr>
        <w:tabs>
          <w:tab w:val="left" w:pos="1785"/>
        </w:tabs>
        <w:autoSpaceDN/>
        <w:contextualSpacing/>
        <w:jc w:val="both"/>
        <w:textAlignment w:val="auto"/>
        <w:rPr>
          <w:bCs/>
          <w:szCs w:val="24"/>
        </w:rPr>
      </w:pPr>
      <w:r w:rsidRPr="00BD4DE0">
        <w:rPr>
          <w:bCs/>
          <w:szCs w:val="24"/>
        </w:rPr>
        <w:t xml:space="preserve">Filipović S, Lior N, </w:t>
      </w:r>
      <w:r w:rsidRPr="00BD4DE0">
        <w:rPr>
          <w:b/>
          <w:szCs w:val="24"/>
        </w:rPr>
        <w:t>Radovanović M</w:t>
      </w:r>
      <w:r w:rsidRPr="00BD4DE0">
        <w:rPr>
          <w:bCs/>
          <w:szCs w:val="24"/>
        </w:rPr>
        <w:t xml:space="preserve">. 2022. The green deal – just transition and sustainable development goals Nexus. Renewable and Sustainable Energy Reviews, 166, 112759, </w:t>
      </w:r>
      <w:hyperlink r:id="rId18" w:history="1">
        <w:r w:rsidRPr="00BD4DE0">
          <w:rPr>
            <w:rStyle w:val="Hyperlink"/>
            <w:bCs/>
            <w:szCs w:val="24"/>
          </w:rPr>
          <w:t>https://doi.org/10.1016/j.rser.2022.112759</w:t>
        </w:r>
      </w:hyperlink>
      <w:r w:rsidRPr="00BD4DE0">
        <w:rPr>
          <w:bCs/>
          <w:szCs w:val="24"/>
        </w:rPr>
        <w:t xml:space="preserve"> </w:t>
      </w:r>
    </w:p>
    <w:p w14:paraId="14DEB164" w14:textId="77777777" w:rsidR="003C7B9C" w:rsidRPr="00BD4DE0" w:rsidRDefault="003C7B9C" w:rsidP="00BD4DE0">
      <w:pPr>
        <w:pStyle w:val="ListParagraph"/>
        <w:numPr>
          <w:ilvl w:val="0"/>
          <w:numId w:val="32"/>
        </w:numPr>
        <w:tabs>
          <w:tab w:val="left" w:pos="1785"/>
        </w:tabs>
        <w:autoSpaceDN/>
        <w:contextualSpacing/>
        <w:jc w:val="both"/>
        <w:textAlignment w:val="auto"/>
        <w:rPr>
          <w:bCs/>
          <w:szCs w:val="24"/>
        </w:rPr>
      </w:pPr>
      <w:r w:rsidRPr="00BD4DE0">
        <w:rPr>
          <w:bCs/>
          <w:szCs w:val="24"/>
        </w:rPr>
        <w:t xml:space="preserve">Filipović, S., </w:t>
      </w:r>
      <w:r w:rsidRPr="00BD4DE0">
        <w:rPr>
          <w:b/>
          <w:szCs w:val="24"/>
        </w:rPr>
        <w:t>Radovanović, M.,</w:t>
      </w:r>
      <w:r w:rsidRPr="00BD4DE0">
        <w:rPr>
          <w:bCs/>
          <w:szCs w:val="24"/>
        </w:rPr>
        <w:t xml:space="preserve"> Lior, N. (2019) </w:t>
      </w:r>
      <w:r w:rsidRPr="00BD4DE0">
        <w:rPr>
          <w:bCs/>
          <w:i/>
          <w:iCs/>
          <w:szCs w:val="24"/>
        </w:rPr>
        <w:t>What does the sharing economy mean for electric market transitions? A review with sustainability perspectives</w:t>
      </w:r>
      <w:r w:rsidRPr="00BD4DE0">
        <w:rPr>
          <w:bCs/>
          <w:szCs w:val="24"/>
        </w:rPr>
        <w:t xml:space="preserve">, Energy Research &amp; Social Science, Vol. 58, 101258. </w:t>
      </w:r>
    </w:p>
    <w:p w14:paraId="3E48057F" w14:textId="77777777" w:rsidR="003C7B9C" w:rsidRPr="00BD4DE0" w:rsidRDefault="003C7B9C" w:rsidP="00BD4DE0">
      <w:pPr>
        <w:pStyle w:val="ListParagraph"/>
        <w:tabs>
          <w:tab w:val="left" w:pos="0"/>
          <w:tab w:val="left" w:pos="284"/>
          <w:tab w:val="left" w:pos="426"/>
        </w:tabs>
        <w:suppressAutoHyphens w:val="0"/>
        <w:ind w:left="0"/>
        <w:jc w:val="both"/>
        <w:rPr>
          <w:b/>
          <w:iCs/>
          <w:szCs w:val="24"/>
        </w:rPr>
      </w:pPr>
      <w:r w:rsidRPr="00BD4DE0">
        <w:rPr>
          <w:szCs w:val="24"/>
        </w:rPr>
        <w:tab/>
      </w:r>
      <w:r w:rsidRPr="00BD4DE0">
        <w:rPr>
          <w:szCs w:val="24"/>
        </w:rPr>
        <w:tab/>
      </w:r>
      <w:r w:rsidRPr="00BD4DE0">
        <w:rPr>
          <w:szCs w:val="24"/>
        </w:rPr>
        <w:tab/>
      </w:r>
      <w:hyperlink r:id="rId19" w:history="1">
        <w:r w:rsidRPr="00BD4DE0">
          <w:rPr>
            <w:rStyle w:val="Hyperlink"/>
            <w:szCs w:val="24"/>
          </w:rPr>
          <w:t>https://doi.org/10.1016/j.erss.2019.101258</w:t>
        </w:r>
      </w:hyperlink>
    </w:p>
    <w:p w14:paraId="6C07AD81" w14:textId="77777777" w:rsidR="003C7B9C" w:rsidRPr="00BD4DE0" w:rsidRDefault="003C7B9C" w:rsidP="00BD4DE0">
      <w:pPr>
        <w:pStyle w:val="ListParagraph"/>
        <w:numPr>
          <w:ilvl w:val="0"/>
          <w:numId w:val="32"/>
        </w:numPr>
        <w:tabs>
          <w:tab w:val="left" w:pos="1785"/>
        </w:tabs>
        <w:autoSpaceDN/>
        <w:contextualSpacing/>
        <w:jc w:val="both"/>
        <w:textAlignment w:val="auto"/>
        <w:rPr>
          <w:bCs/>
          <w:szCs w:val="24"/>
        </w:rPr>
      </w:pPr>
      <w:r w:rsidRPr="00BD4DE0">
        <w:rPr>
          <w:bCs/>
          <w:szCs w:val="24"/>
        </w:rPr>
        <w:t xml:space="preserve">Filipović, S., </w:t>
      </w:r>
      <w:r w:rsidRPr="00BD4DE0">
        <w:rPr>
          <w:b/>
          <w:bCs/>
          <w:szCs w:val="24"/>
        </w:rPr>
        <w:t>Radovanović, M.,</w:t>
      </w:r>
      <w:r w:rsidRPr="00BD4DE0">
        <w:rPr>
          <w:bCs/>
          <w:szCs w:val="24"/>
        </w:rPr>
        <w:t xml:space="preserve"> Golušin, V. (2018) </w:t>
      </w:r>
      <w:r w:rsidRPr="00BD4DE0">
        <w:rPr>
          <w:bCs/>
          <w:i/>
          <w:iCs/>
          <w:szCs w:val="24"/>
        </w:rPr>
        <w:t>Macroeconomic and political aspects of energy security</w:t>
      </w:r>
      <w:r w:rsidRPr="00BD4DE0">
        <w:rPr>
          <w:bCs/>
          <w:szCs w:val="24"/>
        </w:rPr>
        <w:t>, Renewable and Sustainable Energy Reviews, 98, pages: 428-435.</w:t>
      </w:r>
    </w:p>
    <w:p w14:paraId="7D981BEE" w14:textId="77777777" w:rsidR="003C7B9C" w:rsidRPr="00BD4DE0" w:rsidRDefault="003C7B9C" w:rsidP="00BD4DE0">
      <w:pPr>
        <w:pStyle w:val="ListParagraph"/>
        <w:tabs>
          <w:tab w:val="left" w:pos="1785"/>
        </w:tabs>
        <w:jc w:val="both"/>
        <w:rPr>
          <w:szCs w:val="24"/>
        </w:rPr>
      </w:pPr>
      <w:hyperlink r:id="rId20">
        <w:r w:rsidRPr="00BD4DE0">
          <w:rPr>
            <w:rStyle w:val="InternetLink0"/>
            <w:bCs/>
            <w:szCs w:val="24"/>
          </w:rPr>
          <w:t>https://doi.org/10.1016/j.rser.2018.08.058</w:t>
        </w:r>
      </w:hyperlink>
      <w:r w:rsidRPr="00BD4DE0">
        <w:rPr>
          <w:bCs/>
          <w:szCs w:val="24"/>
        </w:rPr>
        <w:t xml:space="preserve"> </w:t>
      </w:r>
    </w:p>
    <w:p w14:paraId="4F747338" w14:textId="77777777" w:rsidR="003C7B9C" w:rsidRPr="00BD4DE0" w:rsidRDefault="003C7B9C" w:rsidP="00BD4DE0">
      <w:pPr>
        <w:pStyle w:val="ListParagraph"/>
        <w:numPr>
          <w:ilvl w:val="0"/>
          <w:numId w:val="32"/>
        </w:numPr>
        <w:tabs>
          <w:tab w:val="left" w:pos="1785"/>
        </w:tabs>
        <w:autoSpaceDN/>
        <w:contextualSpacing/>
        <w:jc w:val="both"/>
        <w:textAlignment w:val="auto"/>
        <w:rPr>
          <w:szCs w:val="24"/>
        </w:rPr>
      </w:pPr>
      <w:r w:rsidRPr="00BD4DE0">
        <w:rPr>
          <w:bCs/>
          <w:szCs w:val="24"/>
        </w:rPr>
        <w:t xml:space="preserve">Petrović, P., Filipović, S., </w:t>
      </w:r>
      <w:r w:rsidRPr="00BD4DE0">
        <w:rPr>
          <w:b/>
          <w:bCs/>
          <w:szCs w:val="24"/>
        </w:rPr>
        <w:t>Radovanović, M</w:t>
      </w:r>
      <w:r w:rsidRPr="00BD4DE0">
        <w:rPr>
          <w:bCs/>
          <w:szCs w:val="24"/>
        </w:rPr>
        <w:t xml:space="preserve">. (2018) </w:t>
      </w:r>
      <w:r w:rsidRPr="00BD4DE0">
        <w:rPr>
          <w:bCs/>
          <w:i/>
          <w:szCs w:val="24"/>
        </w:rPr>
        <w:t>Underlying causal factors of the European Union energy intensity: Econometric evidence</w:t>
      </w:r>
      <w:r w:rsidRPr="00BD4DE0">
        <w:rPr>
          <w:bCs/>
          <w:szCs w:val="24"/>
        </w:rPr>
        <w:t xml:space="preserve">, Renewable and Sustainable Energy Reviews, 89, pages: 216-227. </w:t>
      </w:r>
      <w:hyperlink r:id="rId21">
        <w:r w:rsidRPr="00BD4DE0">
          <w:rPr>
            <w:rStyle w:val="InternetLink0"/>
            <w:szCs w:val="24"/>
          </w:rPr>
          <w:t>https://doi.org/10.1016/j.rser.2018.03.061</w:t>
        </w:r>
      </w:hyperlink>
    </w:p>
    <w:p w14:paraId="41750BA0" w14:textId="77777777" w:rsidR="003C7B9C" w:rsidRPr="00BD4DE0" w:rsidRDefault="003C7B9C" w:rsidP="00BD4DE0">
      <w:pPr>
        <w:pStyle w:val="ListParagraph"/>
        <w:numPr>
          <w:ilvl w:val="0"/>
          <w:numId w:val="32"/>
        </w:numPr>
        <w:tabs>
          <w:tab w:val="left" w:pos="1785"/>
        </w:tabs>
        <w:autoSpaceDN/>
        <w:contextualSpacing/>
        <w:jc w:val="both"/>
        <w:textAlignment w:val="auto"/>
        <w:rPr>
          <w:bCs/>
          <w:szCs w:val="24"/>
        </w:rPr>
      </w:pPr>
      <w:bookmarkStart w:id="4" w:name="_Hlk29115174"/>
      <w:bookmarkStart w:id="5" w:name="__DdeLink__16428_3125312350"/>
      <w:r w:rsidRPr="00BD4DE0">
        <w:rPr>
          <w:b/>
          <w:bCs/>
          <w:szCs w:val="24"/>
        </w:rPr>
        <w:t>Radovanović M,</w:t>
      </w:r>
      <w:r w:rsidRPr="00BD4DE0">
        <w:rPr>
          <w:bCs/>
          <w:szCs w:val="24"/>
        </w:rPr>
        <w:t xml:space="preserve"> Filipović S, Golušin V. (2018), </w:t>
      </w:r>
      <w:r w:rsidRPr="00BD4DE0">
        <w:rPr>
          <w:bCs/>
          <w:i/>
          <w:szCs w:val="24"/>
        </w:rPr>
        <w:t>Geo-economic approach to energy security measurement – principal component analysis</w:t>
      </w:r>
      <w:r w:rsidRPr="00BD4DE0">
        <w:rPr>
          <w:bCs/>
          <w:szCs w:val="24"/>
        </w:rPr>
        <w:t>, Renewable and Sustainable Energy Reviews, Volume 82, Part 2, pages 1691-1700</w:t>
      </w:r>
      <w:bookmarkEnd w:id="4"/>
      <w:r w:rsidRPr="00BD4DE0">
        <w:rPr>
          <w:bCs/>
          <w:szCs w:val="24"/>
        </w:rPr>
        <w:t>.</w:t>
      </w:r>
      <w:bookmarkEnd w:id="5"/>
      <w:r w:rsidRPr="00BD4DE0">
        <w:rPr>
          <w:bCs/>
          <w:szCs w:val="24"/>
        </w:rPr>
        <w:t xml:space="preserve"> COBISS.SR-ID 317620999.</w:t>
      </w:r>
    </w:p>
    <w:p w14:paraId="424BE2A0" w14:textId="77777777" w:rsidR="003C7B9C" w:rsidRPr="00BD4DE0" w:rsidRDefault="003C7B9C" w:rsidP="00BD4DE0">
      <w:pPr>
        <w:pStyle w:val="ListParagraph"/>
        <w:tabs>
          <w:tab w:val="left" w:pos="1785"/>
        </w:tabs>
        <w:jc w:val="both"/>
        <w:rPr>
          <w:szCs w:val="24"/>
        </w:rPr>
      </w:pPr>
      <w:hyperlink r:id="rId22">
        <w:r w:rsidRPr="00BD4DE0">
          <w:rPr>
            <w:rStyle w:val="InternetLink0"/>
            <w:bCs/>
            <w:szCs w:val="24"/>
          </w:rPr>
          <w:t>https://doi.org/10.1016/j.rser.2017.06.072</w:t>
        </w:r>
      </w:hyperlink>
      <w:r w:rsidRPr="00BD4DE0">
        <w:rPr>
          <w:bCs/>
          <w:szCs w:val="24"/>
        </w:rPr>
        <w:t xml:space="preserve">  </w:t>
      </w:r>
    </w:p>
    <w:p w14:paraId="7441E45F" w14:textId="77777777" w:rsidR="003C7B9C" w:rsidRPr="00BD4DE0" w:rsidRDefault="003C7B9C" w:rsidP="00BD4DE0">
      <w:pPr>
        <w:pStyle w:val="ListParagraph"/>
        <w:numPr>
          <w:ilvl w:val="0"/>
          <w:numId w:val="32"/>
        </w:numPr>
        <w:tabs>
          <w:tab w:val="left" w:pos="1785"/>
        </w:tabs>
        <w:autoSpaceDN/>
        <w:contextualSpacing/>
        <w:jc w:val="both"/>
        <w:textAlignment w:val="auto"/>
        <w:rPr>
          <w:bCs/>
          <w:szCs w:val="24"/>
        </w:rPr>
      </w:pPr>
      <w:bookmarkStart w:id="6" w:name="_Hlk29116467"/>
      <w:r w:rsidRPr="00BD4DE0">
        <w:rPr>
          <w:b/>
          <w:bCs/>
          <w:szCs w:val="24"/>
        </w:rPr>
        <w:t>Radovanović M</w:t>
      </w:r>
      <w:r w:rsidRPr="00BD4DE0">
        <w:rPr>
          <w:bCs/>
          <w:szCs w:val="24"/>
        </w:rPr>
        <w:t xml:space="preserve">, Filipović S, Pavlović D. (2017) </w:t>
      </w:r>
      <w:r w:rsidRPr="00BD4DE0">
        <w:rPr>
          <w:bCs/>
          <w:i/>
          <w:szCs w:val="24"/>
        </w:rPr>
        <w:t>Energy security measurement – A sustainable approach</w:t>
      </w:r>
      <w:r w:rsidRPr="00BD4DE0">
        <w:rPr>
          <w:bCs/>
          <w:szCs w:val="24"/>
        </w:rPr>
        <w:t>, Renewable and Sustainable Energy Reviews, Vol 68, Part 2, pages: 1020-1032.</w:t>
      </w:r>
    </w:p>
    <w:bookmarkEnd w:id="6"/>
    <w:p w14:paraId="1EE2FEF5" w14:textId="77777777" w:rsidR="003C7B9C" w:rsidRPr="00BD4DE0" w:rsidRDefault="003C7B9C" w:rsidP="00BD4DE0">
      <w:pPr>
        <w:tabs>
          <w:tab w:val="left" w:pos="1785"/>
        </w:tabs>
        <w:jc w:val="both"/>
        <w:rPr>
          <w:rFonts w:ascii="Times New Roman" w:hAnsi="Times New Roman" w:cs="Times New Roman"/>
          <w:szCs w:val="24"/>
        </w:rPr>
      </w:pPr>
      <w:r w:rsidRPr="00BD4DE0">
        <w:rPr>
          <w:rFonts w:ascii="Times New Roman" w:hAnsi="Times New Roman" w:cs="Times New Roman"/>
          <w:szCs w:val="24"/>
        </w:rPr>
        <w:t xml:space="preserve">            </w:t>
      </w:r>
      <w:hyperlink r:id="rId23" w:history="1">
        <w:r w:rsidRPr="00BD4DE0">
          <w:rPr>
            <w:rStyle w:val="Hyperlink"/>
            <w:rFonts w:ascii="Times New Roman" w:hAnsi="Times New Roman" w:cs="Times New Roman"/>
            <w:szCs w:val="24"/>
          </w:rPr>
          <w:t>https://doi.org/10.1016/j.rser.2016.02.010</w:t>
        </w:r>
      </w:hyperlink>
      <w:r w:rsidRPr="00BD4DE0">
        <w:rPr>
          <w:rFonts w:ascii="Times New Roman" w:hAnsi="Times New Roman" w:cs="Times New Roman"/>
          <w:szCs w:val="24"/>
        </w:rPr>
        <w:t xml:space="preserve"> </w:t>
      </w:r>
    </w:p>
    <w:p w14:paraId="055BCCF5" w14:textId="77777777" w:rsidR="003C7B9C" w:rsidRPr="00BD4DE0" w:rsidRDefault="003C7B9C" w:rsidP="00BD4DE0">
      <w:pPr>
        <w:pStyle w:val="ListParagraph"/>
        <w:numPr>
          <w:ilvl w:val="0"/>
          <w:numId w:val="32"/>
        </w:numPr>
        <w:autoSpaceDN/>
        <w:contextualSpacing/>
        <w:jc w:val="both"/>
        <w:textAlignment w:val="auto"/>
        <w:rPr>
          <w:bCs/>
          <w:szCs w:val="24"/>
        </w:rPr>
      </w:pPr>
      <w:r w:rsidRPr="00BD4DE0">
        <w:rPr>
          <w:szCs w:val="24"/>
        </w:rPr>
        <w:t>Filipović S,</w:t>
      </w:r>
      <w:r w:rsidRPr="00BD4DE0">
        <w:rPr>
          <w:b/>
          <w:szCs w:val="24"/>
        </w:rPr>
        <w:t xml:space="preserve"> Golušin M. </w:t>
      </w:r>
      <w:r w:rsidRPr="00BD4DE0">
        <w:rPr>
          <w:szCs w:val="24"/>
        </w:rPr>
        <w:t>(2015)</w:t>
      </w:r>
      <w:r w:rsidRPr="00BD4DE0">
        <w:rPr>
          <w:b/>
          <w:szCs w:val="24"/>
        </w:rPr>
        <w:t xml:space="preserve"> </w:t>
      </w:r>
      <w:r w:rsidRPr="00BD4DE0">
        <w:rPr>
          <w:bCs/>
          <w:i/>
          <w:szCs w:val="24"/>
        </w:rPr>
        <w:t>Environmental taxation policy in the EU - new methodology approach</w:t>
      </w:r>
      <w:r w:rsidRPr="00BD4DE0">
        <w:rPr>
          <w:bCs/>
          <w:szCs w:val="24"/>
        </w:rPr>
        <w:t>, Journal of Cleaner Production, Vol 88, pages 308-317.</w:t>
      </w:r>
    </w:p>
    <w:bookmarkStart w:id="7" w:name="_Hlk12027545"/>
    <w:p w14:paraId="2DD27F37" w14:textId="77777777" w:rsidR="003C7B9C" w:rsidRPr="00BD4DE0" w:rsidRDefault="003C7B9C" w:rsidP="00BD4DE0">
      <w:pPr>
        <w:ind w:firstLine="720"/>
        <w:jc w:val="both"/>
        <w:rPr>
          <w:rFonts w:ascii="Times New Roman" w:hAnsi="Times New Roman" w:cs="Times New Roman"/>
          <w:szCs w:val="24"/>
        </w:rPr>
      </w:pPr>
      <w:r w:rsidRPr="00BD4DE0">
        <w:rPr>
          <w:rFonts w:ascii="Times New Roman" w:hAnsi="Times New Roman" w:cs="Times New Roman"/>
          <w:szCs w:val="24"/>
        </w:rPr>
        <w:fldChar w:fldCharType="begin"/>
      </w:r>
      <w:r w:rsidRPr="00BD4DE0">
        <w:rPr>
          <w:rFonts w:ascii="Times New Roman" w:hAnsi="Times New Roman" w:cs="Times New Roman"/>
          <w:szCs w:val="24"/>
        </w:rPr>
        <w:instrText xml:space="preserve"> HYPERLINK "http://dx.doi.org/10.1016/j.jclepro.2014.03.002" \h </w:instrText>
      </w:r>
      <w:r w:rsidRPr="00BD4DE0">
        <w:rPr>
          <w:rFonts w:ascii="Times New Roman" w:hAnsi="Times New Roman" w:cs="Times New Roman"/>
          <w:szCs w:val="24"/>
        </w:rPr>
      </w:r>
      <w:r w:rsidRPr="00BD4DE0">
        <w:rPr>
          <w:rFonts w:ascii="Times New Roman" w:hAnsi="Times New Roman" w:cs="Times New Roman"/>
          <w:szCs w:val="24"/>
        </w:rPr>
        <w:fldChar w:fldCharType="separate"/>
      </w:r>
      <w:r w:rsidRPr="00BD4DE0">
        <w:rPr>
          <w:rStyle w:val="InternetLink0"/>
          <w:rFonts w:ascii="Times New Roman" w:hAnsi="Times New Roman" w:cs="Times New Roman"/>
          <w:szCs w:val="24"/>
        </w:rPr>
        <w:t>http://dx.doi.org/10.1016/j.jclepro.2014.03.002</w:t>
      </w:r>
      <w:r w:rsidRPr="00BD4DE0">
        <w:rPr>
          <w:rStyle w:val="InternetLink0"/>
          <w:rFonts w:ascii="Times New Roman" w:hAnsi="Times New Roman" w:cs="Times New Roman"/>
          <w:szCs w:val="24"/>
        </w:rPr>
        <w:fldChar w:fldCharType="end"/>
      </w:r>
      <w:r w:rsidRPr="00BD4DE0">
        <w:rPr>
          <w:rFonts w:ascii="Times New Roman" w:hAnsi="Times New Roman" w:cs="Times New Roman"/>
          <w:szCs w:val="24"/>
        </w:rPr>
        <w:t xml:space="preserve">   </w:t>
      </w:r>
    </w:p>
    <w:bookmarkEnd w:id="7"/>
    <w:p w14:paraId="7F671AE6" w14:textId="77777777" w:rsidR="003C7B9C" w:rsidRPr="00BD4DE0" w:rsidRDefault="003C7B9C" w:rsidP="00BD4DE0">
      <w:pPr>
        <w:pStyle w:val="ListParagraph"/>
        <w:numPr>
          <w:ilvl w:val="0"/>
          <w:numId w:val="32"/>
        </w:numPr>
        <w:autoSpaceDN/>
        <w:contextualSpacing/>
        <w:jc w:val="both"/>
        <w:textAlignment w:val="auto"/>
        <w:rPr>
          <w:szCs w:val="24"/>
        </w:rPr>
      </w:pPr>
      <w:r w:rsidRPr="00BD4DE0">
        <w:rPr>
          <w:b/>
          <w:bCs/>
          <w:szCs w:val="24"/>
        </w:rPr>
        <w:t>Golušin M</w:t>
      </w:r>
      <w:r w:rsidRPr="00BD4DE0">
        <w:rPr>
          <w:bCs/>
          <w:szCs w:val="24"/>
        </w:rPr>
        <w:t>., Muinitlak-Ivanović O, Andrejević A, Vučenov S.</w:t>
      </w:r>
      <w:r w:rsidRPr="00BD4DE0">
        <w:rPr>
          <w:b/>
          <w:bCs/>
          <w:szCs w:val="24"/>
        </w:rPr>
        <w:t xml:space="preserve"> </w:t>
      </w:r>
      <w:r w:rsidRPr="00BD4DE0">
        <w:rPr>
          <w:bCs/>
          <w:szCs w:val="24"/>
        </w:rPr>
        <w:t xml:space="preserve">(2014) </w:t>
      </w:r>
      <w:r w:rsidRPr="00BD4DE0">
        <w:rPr>
          <w:i/>
          <w:szCs w:val="24"/>
        </w:rPr>
        <w:t>Survey of socio-economic growth in SE Europe – new conceptual frame for sustainability metrics</w:t>
      </w:r>
      <w:r w:rsidRPr="00BD4DE0">
        <w:rPr>
          <w:szCs w:val="24"/>
        </w:rPr>
        <w:t>, Journal of Economic Surveys, Vol 28, Issue 1, pages 152–168.</w:t>
      </w:r>
    </w:p>
    <w:p w14:paraId="317FD30E" w14:textId="77777777" w:rsidR="003C7B9C" w:rsidRPr="00BD4DE0" w:rsidRDefault="003C7B9C" w:rsidP="00BD4DE0">
      <w:pPr>
        <w:ind w:firstLine="720"/>
        <w:jc w:val="both"/>
        <w:rPr>
          <w:rFonts w:ascii="Times New Roman" w:hAnsi="Times New Roman" w:cs="Times New Roman"/>
          <w:szCs w:val="24"/>
        </w:rPr>
      </w:pPr>
      <w:hyperlink r:id="rId24">
        <w:r w:rsidRPr="00BD4DE0">
          <w:rPr>
            <w:rStyle w:val="InternetLink0"/>
            <w:rFonts w:ascii="Times New Roman" w:hAnsi="Times New Roman" w:cs="Times New Roman"/>
            <w:szCs w:val="24"/>
          </w:rPr>
          <w:t>doi/10.1111/joes.12006/abstract</w:t>
        </w:r>
      </w:hyperlink>
    </w:p>
    <w:p w14:paraId="0FD09056" w14:textId="77777777" w:rsidR="003C7B9C" w:rsidRPr="00BD4DE0" w:rsidRDefault="003C7B9C" w:rsidP="00BD4DE0">
      <w:pPr>
        <w:pStyle w:val="ListParagraph"/>
        <w:numPr>
          <w:ilvl w:val="0"/>
          <w:numId w:val="32"/>
        </w:numPr>
        <w:autoSpaceDN/>
        <w:contextualSpacing/>
        <w:jc w:val="both"/>
        <w:textAlignment w:val="auto"/>
        <w:rPr>
          <w:szCs w:val="24"/>
        </w:rPr>
      </w:pPr>
      <w:r w:rsidRPr="00BD4DE0">
        <w:rPr>
          <w:b/>
          <w:szCs w:val="24"/>
        </w:rPr>
        <w:t>Golu</w:t>
      </w:r>
      <w:r w:rsidRPr="00BD4DE0">
        <w:rPr>
          <w:b/>
          <w:szCs w:val="24"/>
          <w:lang w:val="sr-Latn-CS"/>
        </w:rPr>
        <w:t>šin M</w:t>
      </w:r>
      <w:r w:rsidRPr="00BD4DE0">
        <w:rPr>
          <w:szCs w:val="24"/>
          <w:lang w:val="sr-Latn-CS"/>
        </w:rPr>
        <w:t xml:space="preserve">, Ostojić A, Latinović S, Jandrić M, Munitlak-Ivanović O. (2012) </w:t>
      </w:r>
      <w:r w:rsidRPr="00BD4DE0">
        <w:rPr>
          <w:i/>
          <w:iCs/>
          <w:szCs w:val="24"/>
        </w:rPr>
        <w:t xml:space="preserve">Review of the economic viability of investing and exploiting biogas electricity plant – case study Vizelj, </w:t>
      </w:r>
      <w:r w:rsidRPr="00BD4DE0">
        <w:rPr>
          <w:szCs w:val="24"/>
        </w:rPr>
        <w:t>Renewable and sustainable energy reviews, Vol 16, Issue 2, pages 1127 – 1134.</w:t>
      </w:r>
    </w:p>
    <w:p w14:paraId="4F3DFB53" w14:textId="77777777" w:rsidR="003C7B9C" w:rsidRPr="00BD4DE0" w:rsidRDefault="003C7B9C" w:rsidP="00BD4DE0">
      <w:pPr>
        <w:ind w:firstLine="720"/>
        <w:jc w:val="both"/>
        <w:rPr>
          <w:rFonts w:ascii="Times New Roman" w:hAnsi="Times New Roman" w:cs="Times New Roman"/>
          <w:szCs w:val="24"/>
        </w:rPr>
      </w:pPr>
      <w:hyperlink r:id="rId25" w:tgtFrame="doilink">
        <w:r w:rsidRPr="00BD4DE0">
          <w:rPr>
            <w:rStyle w:val="InternetLink0"/>
            <w:rFonts w:ascii="Times New Roman" w:hAnsi="Times New Roman" w:cs="Times New Roman"/>
            <w:color w:val="4F81BD"/>
            <w:szCs w:val="24"/>
            <w:highlight w:val="white"/>
          </w:rPr>
          <w:t>http://dx.doi.org/10.1016/j.rser.2011.11.012</w:t>
        </w:r>
      </w:hyperlink>
    </w:p>
    <w:p w14:paraId="17DF6EF4" w14:textId="77777777" w:rsidR="003C7B9C" w:rsidRPr="00BD4DE0" w:rsidRDefault="003C7B9C" w:rsidP="00BD4DE0">
      <w:pPr>
        <w:pStyle w:val="ListParagraph"/>
        <w:numPr>
          <w:ilvl w:val="0"/>
          <w:numId w:val="32"/>
        </w:numPr>
        <w:autoSpaceDN/>
        <w:contextualSpacing/>
        <w:jc w:val="both"/>
        <w:textAlignment w:val="auto"/>
        <w:rPr>
          <w:szCs w:val="24"/>
        </w:rPr>
      </w:pPr>
      <w:r w:rsidRPr="00BD4DE0">
        <w:rPr>
          <w:szCs w:val="24"/>
        </w:rPr>
        <w:lastRenderedPageBreak/>
        <w:t xml:space="preserve">Mihić S, </w:t>
      </w:r>
      <w:r w:rsidRPr="00BD4DE0">
        <w:rPr>
          <w:b/>
          <w:bCs/>
          <w:szCs w:val="24"/>
        </w:rPr>
        <w:t>Golušin M</w:t>
      </w:r>
      <w:r w:rsidRPr="00BD4DE0">
        <w:rPr>
          <w:szCs w:val="24"/>
        </w:rPr>
        <w:t xml:space="preserve">, Mihajlović M. (2011) </w:t>
      </w:r>
      <w:r w:rsidRPr="00BD4DE0">
        <w:rPr>
          <w:i/>
          <w:iCs/>
          <w:szCs w:val="24"/>
        </w:rPr>
        <w:t xml:space="preserve">Policy and Promotion of Sustainable Inland Waterway Transport in Europe </w:t>
      </w:r>
      <w:r w:rsidRPr="00BD4DE0">
        <w:rPr>
          <w:szCs w:val="24"/>
        </w:rPr>
        <w:t xml:space="preserve">- </w:t>
      </w:r>
      <w:r w:rsidRPr="00BD4DE0">
        <w:rPr>
          <w:i/>
          <w:szCs w:val="24"/>
        </w:rPr>
        <w:t>Danube River</w:t>
      </w:r>
      <w:r w:rsidRPr="00BD4DE0">
        <w:rPr>
          <w:szCs w:val="24"/>
        </w:rPr>
        <w:t xml:space="preserve">, Renewable and sustainable energy reviews, Vol. 15, Issue 4, pages 1801-1809. </w:t>
      </w:r>
    </w:p>
    <w:bookmarkStart w:id="8" w:name="_Hlk12027675"/>
    <w:p w14:paraId="71B04B46" w14:textId="77777777" w:rsidR="003C7B9C" w:rsidRPr="00BD4DE0" w:rsidRDefault="003C7B9C" w:rsidP="00BD4DE0">
      <w:pPr>
        <w:ind w:firstLine="720"/>
        <w:jc w:val="both"/>
        <w:rPr>
          <w:rFonts w:ascii="Times New Roman" w:hAnsi="Times New Roman" w:cs="Times New Roman"/>
          <w:szCs w:val="24"/>
        </w:rPr>
      </w:pPr>
      <w:r w:rsidRPr="00BD4DE0">
        <w:rPr>
          <w:rFonts w:ascii="Times New Roman" w:hAnsi="Times New Roman" w:cs="Times New Roman"/>
          <w:szCs w:val="24"/>
        </w:rPr>
        <w:fldChar w:fldCharType="begin"/>
      </w:r>
      <w:r w:rsidRPr="00BD4DE0">
        <w:rPr>
          <w:rFonts w:ascii="Times New Roman" w:hAnsi="Times New Roman" w:cs="Times New Roman"/>
          <w:szCs w:val="24"/>
        </w:rPr>
        <w:instrText xml:space="preserve"> HYPERLINK "http://dx.doi.org/10.1016/j.rser.2010.11.033" \t "doilink" \h </w:instrText>
      </w:r>
      <w:r w:rsidRPr="00BD4DE0">
        <w:rPr>
          <w:rFonts w:ascii="Times New Roman" w:hAnsi="Times New Roman" w:cs="Times New Roman"/>
          <w:szCs w:val="24"/>
        </w:rPr>
      </w:r>
      <w:r w:rsidRPr="00BD4DE0">
        <w:rPr>
          <w:rFonts w:ascii="Times New Roman" w:hAnsi="Times New Roman" w:cs="Times New Roman"/>
          <w:szCs w:val="24"/>
        </w:rPr>
        <w:fldChar w:fldCharType="separate"/>
      </w:r>
      <w:r w:rsidRPr="00BD4DE0">
        <w:rPr>
          <w:rStyle w:val="InternetLink0"/>
          <w:rFonts w:ascii="Times New Roman" w:hAnsi="Times New Roman" w:cs="Times New Roman"/>
          <w:color w:val="4F81BD"/>
          <w:szCs w:val="24"/>
          <w:highlight w:val="white"/>
        </w:rPr>
        <w:t>http://dx.doi.org/10.1016/j.rser.2010.11.033</w:t>
      </w:r>
      <w:r w:rsidRPr="00BD4DE0">
        <w:rPr>
          <w:rStyle w:val="InternetLink0"/>
          <w:rFonts w:ascii="Times New Roman" w:hAnsi="Times New Roman" w:cs="Times New Roman"/>
          <w:color w:val="4F81BD"/>
          <w:szCs w:val="24"/>
          <w:highlight w:val="white"/>
        </w:rPr>
        <w:fldChar w:fldCharType="end"/>
      </w:r>
    </w:p>
    <w:bookmarkEnd w:id="8"/>
    <w:p w14:paraId="1344A4F5" w14:textId="77777777" w:rsidR="003C7B9C" w:rsidRPr="00BD4DE0" w:rsidRDefault="003C7B9C" w:rsidP="00BD4DE0">
      <w:pPr>
        <w:pStyle w:val="ListParagraph"/>
        <w:numPr>
          <w:ilvl w:val="0"/>
          <w:numId w:val="32"/>
        </w:numPr>
        <w:autoSpaceDN/>
        <w:contextualSpacing/>
        <w:jc w:val="both"/>
        <w:textAlignment w:val="auto"/>
        <w:rPr>
          <w:bCs/>
          <w:szCs w:val="24"/>
        </w:rPr>
      </w:pPr>
      <w:r w:rsidRPr="00BD4DE0">
        <w:rPr>
          <w:b/>
          <w:bCs/>
          <w:szCs w:val="24"/>
        </w:rPr>
        <w:t xml:space="preserve">Golušin M, </w:t>
      </w:r>
      <w:r w:rsidRPr="00BD4DE0">
        <w:rPr>
          <w:bCs/>
          <w:szCs w:val="24"/>
        </w:rPr>
        <w:t xml:space="preserve">Munitlak-Ivanović O, Teodorović N. (2011) </w:t>
      </w:r>
      <w:r w:rsidRPr="00BD4DE0">
        <w:rPr>
          <w:bCs/>
          <w:i/>
          <w:szCs w:val="24"/>
        </w:rPr>
        <w:t>The review oh achieved degree of sustainable development in South Eastern Europe – The use of linear regression method</w:t>
      </w:r>
      <w:r w:rsidRPr="00BD4DE0">
        <w:rPr>
          <w:bCs/>
          <w:szCs w:val="24"/>
        </w:rPr>
        <w:t>, Renewable and sustainable energy reviews, Vol. 15, Issue 1, pages 776 – 772.</w:t>
      </w:r>
    </w:p>
    <w:bookmarkStart w:id="9" w:name="_Hlk12027749"/>
    <w:p w14:paraId="4B790D77" w14:textId="77777777" w:rsidR="003C7B9C" w:rsidRPr="00BD4DE0" w:rsidRDefault="003C7B9C" w:rsidP="00BD4DE0">
      <w:pPr>
        <w:ind w:firstLine="720"/>
        <w:jc w:val="both"/>
        <w:rPr>
          <w:rFonts w:ascii="Times New Roman" w:hAnsi="Times New Roman" w:cs="Times New Roman"/>
          <w:szCs w:val="24"/>
        </w:rPr>
      </w:pPr>
      <w:r w:rsidRPr="00BD4DE0">
        <w:rPr>
          <w:rFonts w:ascii="Times New Roman" w:eastAsia="Times New Roman" w:hAnsi="Times New Roman" w:cs="Times New Roman"/>
          <w:szCs w:val="24"/>
        </w:rPr>
        <w:fldChar w:fldCharType="begin"/>
      </w:r>
      <w:r w:rsidRPr="00BD4DE0">
        <w:rPr>
          <w:rFonts w:ascii="Times New Roman" w:hAnsi="Times New Roman" w:cs="Times New Roman"/>
          <w:szCs w:val="24"/>
        </w:rPr>
        <w:instrText xml:space="preserve"> HYPERLINK "http://dx.doi.org/10.1016/j.rser.2010.07.064" \h </w:instrText>
      </w:r>
      <w:r w:rsidRPr="00BD4DE0">
        <w:rPr>
          <w:rFonts w:ascii="Times New Roman" w:hAnsi="Times New Roman" w:cs="Times New Roman"/>
          <w:szCs w:val="24"/>
        </w:rPr>
      </w:r>
      <w:r w:rsidRPr="00BD4DE0">
        <w:rPr>
          <w:rFonts w:ascii="Times New Roman" w:eastAsia="Times New Roman" w:hAnsi="Times New Roman" w:cs="Times New Roman"/>
          <w:szCs w:val="24"/>
        </w:rPr>
        <w:fldChar w:fldCharType="separate"/>
      </w:r>
      <w:r w:rsidRPr="00BD4DE0">
        <w:rPr>
          <w:rStyle w:val="InternetLink0"/>
          <w:rFonts w:ascii="Times New Roman" w:hAnsi="Times New Roman" w:cs="Times New Roman"/>
          <w:bCs/>
          <w:color w:val="4BACC6"/>
          <w:szCs w:val="24"/>
        </w:rPr>
        <w:t>http://dx.doi.org/10.1016/j.rser.2010.07.064</w:t>
      </w:r>
      <w:r w:rsidRPr="00BD4DE0">
        <w:rPr>
          <w:rStyle w:val="InternetLink0"/>
          <w:rFonts w:ascii="Times New Roman" w:hAnsi="Times New Roman" w:cs="Times New Roman"/>
          <w:bCs/>
          <w:color w:val="4BACC6"/>
          <w:szCs w:val="24"/>
        </w:rPr>
        <w:fldChar w:fldCharType="end"/>
      </w:r>
    </w:p>
    <w:bookmarkEnd w:id="9"/>
    <w:p w14:paraId="7E066C7D" w14:textId="77777777" w:rsidR="003C7B9C" w:rsidRPr="00BD4DE0" w:rsidRDefault="003C7B9C" w:rsidP="00BD4DE0">
      <w:pPr>
        <w:pStyle w:val="ListParagraph"/>
        <w:numPr>
          <w:ilvl w:val="0"/>
          <w:numId w:val="32"/>
        </w:numPr>
        <w:autoSpaceDN/>
        <w:contextualSpacing/>
        <w:jc w:val="both"/>
        <w:textAlignment w:val="auto"/>
        <w:rPr>
          <w:szCs w:val="24"/>
        </w:rPr>
      </w:pPr>
      <w:r w:rsidRPr="00BD4DE0">
        <w:rPr>
          <w:b/>
          <w:bCs/>
          <w:szCs w:val="24"/>
        </w:rPr>
        <w:t>Golušin M</w:t>
      </w:r>
      <w:r w:rsidRPr="00BD4DE0">
        <w:rPr>
          <w:szCs w:val="24"/>
        </w:rPr>
        <w:t xml:space="preserve">, Tešić Z, Ostojić A. (2010) </w:t>
      </w:r>
      <w:r w:rsidRPr="00BD4DE0">
        <w:rPr>
          <w:i/>
          <w:iCs/>
          <w:szCs w:val="24"/>
        </w:rPr>
        <w:t xml:space="preserve">The Analysis of the Renewable Energy Production Sector in Serbia, </w:t>
      </w:r>
      <w:r w:rsidRPr="00BD4DE0">
        <w:rPr>
          <w:szCs w:val="24"/>
        </w:rPr>
        <w:t>Renewable and sustainable energy reviews, Vol 14, Issue 5, pages 1477 – 1483.</w:t>
      </w:r>
    </w:p>
    <w:bookmarkStart w:id="10" w:name="_Hlk12027764"/>
    <w:p w14:paraId="577CE494" w14:textId="77777777" w:rsidR="003C7B9C" w:rsidRPr="00BD4DE0" w:rsidRDefault="003C7B9C" w:rsidP="00BD4DE0">
      <w:pPr>
        <w:ind w:firstLine="720"/>
        <w:jc w:val="both"/>
        <w:rPr>
          <w:rFonts w:ascii="Times New Roman" w:hAnsi="Times New Roman" w:cs="Times New Roman"/>
          <w:szCs w:val="24"/>
        </w:rPr>
      </w:pPr>
      <w:r w:rsidRPr="00BD4DE0">
        <w:rPr>
          <w:rFonts w:ascii="Times New Roman" w:hAnsi="Times New Roman" w:cs="Times New Roman"/>
          <w:szCs w:val="24"/>
        </w:rPr>
        <w:fldChar w:fldCharType="begin"/>
      </w:r>
      <w:r w:rsidRPr="00BD4DE0">
        <w:rPr>
          <w:rFonts w:ascii="Times New Roman" w:hAnsi="Times New Roman" w:cs="Times New Roman"/>
          <w:szCs w:val="24"/>
        </w:rPr>
        <w:instrText xml:space="preserve"> HYPERLINK "http://dx.doi.org/10.1016/j.rser.2010.01.012" \h </w:instrText>
      </w:r>
      <w:r w:rsidRPr="00BD4DE0">
        <w:rPr>
          <w:rFonts w:ascii="Times New Roman" w:hAnsi="Times New Roman" w:cs="Times New Roman"/>
          <w:szCs w:val="24"/>
        </w:rPr>
      </w:r>
      <w:r w:rsidRPr="00BD4DE0">
        <w:rPr>
          <w:rFonts w:ascii="Times New Roman" w:hAnsi="Times New Roman" w:cs="Times New Roman"/>
          <w:szCs w:val="24"/>
        </w:rPr>
        <w:fldChar w:fldCharType="separate"/>
      </w:r>
      <w:r w:rsidRPr="00BD4DE0">
        <w:rPr>
          <w:rStyle w:val="InternetLink0"/>
          <w:rFonts w:ascii="Times New Roman" w:hAnsi="Times New Roman" w:cs="Times New Roman"/>
          <w:color w:val="3366FF"/>
          <w:szCs w:val="24"/>
          <w:highlight w:val="white"/>
        </w:rPr>
        <w:t>http://dx.doi.org/10.1016/j.rser.2010.01.012</w:t>
      </w:r>
      <w:r w:rsidRPr="00BD4DE0">
        <w:rPr>
          <w:rStyle w:val="InternetLink0"/>
          <w:rFonts w:ascii="Times New Roman" w:hAnsi="Times New Roman" w:cs="Times New Roman"/>
          <w:color w:val="3366FF"/>
          <w:szCs w:val="24"/>
          <w:highlight w:val="white"/>
        </w:rPr>
        <w:fldChar w:fldCharType="end"/>
      </w:r>
    </w:p>
    <w:bookmarkEnd w:id="10"/>
    <w:p w14:paraId="6D59F4A1" w14:textId="77777777" w:rsidR="003C7B9C" w:rsidRPr="00BD4DE0" w:rsidRDefault="003C7B9C" w:rsidP="00BD4DE0">
      <w:pPr>
        <w:pStyle w:val="ListParagraph"/>
        <w:numPr>
          <w:ilvl w:val="0"/>
          <w:numId w:val="32"/>
        </w:numPr>
        <w:autoSpaceDN/>
        <w:contextualSpacing/>
        <w:jc w:val="both"/>
        <w:textAlignment w:val="auto"/>
        <w:rPr>
          <w:szCs w:val="24"/>
        </w:rPr>
      </w:pPr>
      <w:r w:rsidRPr="00BD4DE0">
        <w:rPr>
          <w:szCs w:val="24"/>
        </w:rPr>
        <w:t xml:space="preserve">Dodić S, Popov S, Dodić J, Ranković J, Zavargo Z, </w:t>
      </w:r>
      <w:r w:rsidRPr="00BD4DE0">
        <w:rPr>
          <w:b/>
          <w:bCs/>
          <w:szCs w:val="24"/>
        </w:rPr>
        <w:t>Golušin</w:t>
      </w:r>
      <w:r w:rsidRPr="00BD4DE0">
        <w:rPr>
          <w:b/>
          <w:szCs w:val="24"/>
        </w:rPr>
        <w:t xml:space="preserve"> M. </w:t>
      </w:r>
      <w:r w:rsidRPr="00BD4DE0">
        <w:rPr>
          <w:szCs w:val="24"/>
        </w:rPr>
        <w:t xml:space="preserve">(2010) </w:t>
      </w:r>
      <w:r w:rsidRPr="00BD4DE0">
        <w:rPr>
          <w:i/>
          <w:iCs/>
          <w:szCs w:val="24"/>
        </w:rPr>
        <w:t xml:space="preserve">An overview of biomass energy utilization in Vojvodina, </w:t>
      </w:r>
      <w:r w:rsidRPr="00BD4DE0">
        <w:rPr>
          <w:szCs w:val="24"/>
        </w:rPr>
        <w:t>Renewable and sustainable energy reviews, Vol 14, Issue 1, pages 550-553.</w:t>
      </w:r>
    </w:p>
    <w:p w14:paraId="2F0AAFC9" w14:textId="77777777" w:rsidR="003C7B9C" w:rsidRPr="00BD4DE0" w:rsidRDefault="003C7B9C" w:rsidP="00BD4DE0">
      <w:pPr>
        <w:ind w:firstLine="720"/>
        <w:jc w:val="both"/>
        <w:rPr>
          <w:rFonts w:ascii="Times New Roman" w:hAnsi="Times New Roman" w:cs="Times New Roman"/>
          <w:szCs w:val="24"/>
        </w:rPr>
      </w:pPr>
      <w:hyperlink r:id="rId26" w:tgtFrame="doilink">
        <w:r w:rsidRPr="00BD4DE0">
          <w:rPr>
            <w:rStyle w:val="InternetLink0"/>
            <w:rFonts w:ascii="Times New Roman" w:hAnsi="Times New Roman" w:cs="Times New Roman"/>
            <w:color w:val="4F81BD"/>
            <w:szCs w:val="24"/>
            <w:highlight w:val="white"/>
          </w:rPr>
          <w:t>http://dx.doi.org/10.1016/j.rser.2009.07.010</w:t>
        </w:r>
      </w:hyperlink>
    </w:p>
    <w:p w14:paraId="4806900E" w14:textId="77777777" w:rsidR="003C7B9C" w:rsidRPr="00BD4DE0" w:rsidRDefault="003C7B9C" w:rsidP="00BD4DE0">
      <w:pPr>
        <w:pStyle w:val="ListParagraph"/>
        <w:numPr>
          <w:ilvl w:val="0"/>
          <w:numId w:val="32"/>
        </w:numPr>
        <w:autoSpaceDN/>
        <w:contextualSpacing/>
        <w:jc w:val="both"/>
        <w:textAlignment w:val="auto"/>
        <w:rPr>
          <w:szCs w:val="24"/>
        </w:rPr>
      </w:pPr>
      <w:r w:rsidRPr="00BD4DE0">
        <w:rPr>
          <w:b/>
          <w:bCs/>
          <w:szCs w:val="24"/>
        </w:rPr>
        <w:t>Golušin</w:t>
      </w:r>
      <w:r w:rsidRPr="00BD4DE0">
        <w:rPr>
          <w:b/>
          <w:szCs w:val="24"/>
        </w:rPr>
        <w:t xml:space="preserve"> M, </w:t>
      </w:r>
      <w:r w:rsidRPr="00BD4DE0">
        <w:rPr>
          <w:szCs w:val="24"/>
        </w:rPr>
        <w:t xml:space="preserve">Munitlak-Ivanović O, Bagarić I, Vranješ S. (2010) </w:t>
      </w:r>
      <w:r w:rsidRPr="00BD4DE0">
        <w:rPr>
          <w:i/>
          <w:iCs/>
          <w:szCs w:val="24"/>
        </w:rPr>
        <w:t xml:space="preserve">Exploitation of geothermal energy as a priority of sustainable energetic development in Serbia, </w:t>
      </w:r>
      <w:r w:rsidRPr="00BD4DE0">
        <w:rPr>
          <w:szCs w:val="24"/>
        </w:rPr>
        <w:t>Renewable and sustainable energy reviews, Vol 14, Issue 2, pages 868-871.</w:t>
      </w:r>
    </w:p>
    <w:p w14:paraId="3ED1415A" w14:textId="77777777" w:rsidR="003C7B9C" w:rsidRPr="00BD4DE0" w:rsidRDefault="003C7B9C" w:rsidP="00BD4DE0">
      <w:pPr>
        <w:pStyle w:val="ListParagraph"/>
        <w:jc w:val="both"/>
        <w:rPr>
          <w:szCs w:val="24"/>
        </w:rPr>
      </w:pPr>
      <w:hyperlink r:id="rId27" w:tgtFrame="doilink">
        <w:r w:rsidRPr="00BD4DE0">
          <w:rPr>
            <w:rStyle w:val="InternetLink0"/>
            <w:color w:val="4F81BD"/>
            <w:szCs w:val="24"/>
            <w:highlight w:val="white"/>
          </w:rPr>
          <w:t>http://dx.doi.org/10.1016/j.rser.2009.06.026</w:t>
        </w:r>
      </w:hyperlink>
    </w:p>
    <w:p w14:paraId="7CC4F27B" w14:textId="77777777" w:rsidR="003C7B9C" w:rsidRPr="00BD4DE0" w:rsidRDefault="003C7B9C" w:rsidP="00BD4DE0">
      <w:pPr>
        <w:pStyle w:val="ListParagraph"/>
        <w:numPr>
          <w:ilvl w:val="0"/>
          <w:numId w:val="32"/>
        </w:numPr>
        <w:autoSpaceDN/>
        <w:contextualSpacing/>
        <w:jc w:val="both"/>
        <w:textAlignment w:val="auto"/>
        <w:rPr>
          <w:szCs w:val="24"/>
        </w:rPr>
      </w:pPr>
      <w:r w:rsidRPr="00BD4DE0">
        <w:rPr>
          <w:b/>
          <w:bCs/>
          <w:szCs w:val="24"/>
        </w:rPr>
        <w:t>Golušin</w:t>
      </w:r>
      <w:r w:rsidRPr="00BD4DE0">
        <w:rPr>
          <w:b/>
          <w:szCs w:val="24"/>
        </w:rPr>
        <w:t xml:space="preserve"> M</w:t>
      </w:r>
      <w:r w:rsidRPr="00BD4DE0">
        <w:rPr>
          <w:szCs w:val="24"/>
        </w:rPr>
        <w:t xml:space="preserve">, Munitlak-Ivanović O. (2009) </w:t>
      </w:r>
      <w:r w:rsidRPr="00BD4DE0">
        <w:rPr>
          <w:i/>
          <w:iCs/>
          <w:szCs w:val="24"/>
        </w:rPr>
        <w:t xml:space="preserve">Definition, characteristics and state of indicators of sustainable development in countries of Southeastern Europe, </w:t>
      </w:r>
      <w:r w:rsidRPr="00BD4DE0">
        <w:rPr>
          <w:szCs w:val="24"/>
        </w:rPr>
        <w:t>Agriculture, Ecosystems and Environment, vol. 130, issues 1-2, pages 67-74.</w:t>
      </w:r>
    </w:p>
    <w:bookmarkStart w:id="11" w:name="_Hlk12027791"/>
    <w:p w14:paraId="2A976241" w14:textId="77777777" w:rsidR="003C7B9C" w:rsidRPr="00BD4DE0" w:rsidRDefault="003C7B9C" w:rsidP="00BD4DE0">
      <w:pPr>
        <w:pStyle w:val="ListParagraph"/>
        <w:jc w:val="both"/>
        <w:rPr>
          <w:szCs w:val="24"/>
        </w:rPr>
      </w:pPr>
      <w:r w:rsidRPr="00BD4DE0">
        <w:rPr>
          <w:szCs w:val="24"/>
        </w:rPr>
        <w:fldChar w:fldCharType="begin"/>
      </w:r>
      <w:r w:rsidRPr="00BD4DE0">
        <w:rPr>
          <w:szCs w:val="24"/>
        </w:rPr>
        <w:instrText xml:space="preserve"> HYPERLINK "http://dx.doi.org/10.1016/j.agee.2008.11.018" \t "doilink" \h </w:instrText>
      </w:r>
      <w:r w:rsidRPr="00BD4DE0">
        <w:rPr>
          <w:szCs w:val="24"/>
        </w:rPr>
      </w:r>
      <w:r w:rsidRPr="00BD4DE0">
        <w:rPr>
          <w:szCs w:val="24"/>
        </w:rPr>
        <w:fldChar w:fldCharType="separate"/>
      </w:r>
      <w:r w:rsidRPr="00BD4DE0">
        <w:rPr>
          <w:rStyle w:val="InternetLink0"/>
          <w:color w:val="4F81BD"/>
          <w:szCs w:val="24"/>
          <w:highlight w:val="white"/>
        </w:rPr>
        <w:t>http://dx.doi.org/10.1016/j.agee.2008.11.018</w:t>
      </w:r>
      <w:r w:rsidRPr="00BD4DE0">
        <w:rPr>
          <w:rStyle w:val="InternetLink0"/>
          <w:color w:val="4F81BD"/>
          <w:szCs w:val="24"/>
          <w:highlight w:val="white"/>
        </w:rPr>
        <w:fldChar w:fldCharType="end"/>
      </w:r>
    </w:p>
    <w:bookmarkEnd w:id="11"/>
    <w:p w14:paraId="0CA11DF9" w14:textId="77777777" w:rsidR="003C7B9C" w:rsidRPr="00BD4DE0" w:rsidRDefault="003C7B9C" w:rsidP="00BD4DE0">
      <w:pPr>
        <w:pStyle w:val="ListParagraph"/>
        <w:tabs>
          <w:tab w:val="left" w:pos="0"/>
          <w:tab w:val="left" w:pos="284"/>
          <w:tab w:val="left" w:pos="426"/>
        </w:tabs>
        <w:suppressAutoHyphens w:val="0"/>
        <w:ind w:left="0"/>
        <w:jc w:val="both"/>
        <w:rPr>
          <w:b/>
          <w:iCs/>
          <w:szCs w:val="24"/>
        </w:rPr>
      </w:pPr>
    </w:p>
    <w:p w14:paraId="06B42EEA" w14:textId="77777777" w:rsidR="00BD4DE0" w:rsidRDefault="00BD4DE0" w:rsidP="00BD4DE0">
      <w:pPr>
        <w:pStyle w:val="ListParagraph"/>
        <w:tabs>
          <w:tab w:val="left" w:pos="0"/>
          <w:tab w:val="left" w:pos="284"/>
          <w:tab w:val="left" w:pos="426"/>
        </w:tabs>
        <w:suppressAutoHyphens w:val="0"/>
        <w:ind w:left="0"/>
        <w:jc w:val="both"/>
        <w:rPr>
          <w:b/>
          <w:iCs/>
          <w:szCs w:val="24"/>
        </w:rPr>
      </w:pPr>
    </w:p>
    <w:p w14:paraId="1C07A271" w14:textId="7891A6AD" w:rsidR="003C7B9C" w:rsidRPr="00BD4DE0" w:rsidRDefault="003C7B9C" w:rsidP="00BD4DE0">
      <w:pPr>
        <w:pStyle w:val="ListParagraph"/>
        <w:tabs>
          <w:tab w:val="left" w:pos="0"/>
          <w:tab w:val="left" w:pos="284"/>
          <w:tab w:val="left" w:pos="426"/>
        </w:tabs>
        <w:suppressAutoHyphens w:val="0"/>
        <w:ind w:left="0"/>
        <w:jc w:val="both"/>
        <w:rPr>
          <w:b/>
          <w:iCs/>
          <w:szCs w:val="24"/>
        </w:rPr>
      </w:pPr>
      <w:r w:rsidRPr="00BD4DE0">
        <w:rPr>
          <w:b/>
          <w:iCs/>
          <w:szCs w:val="24"/>
        </w:rPr>
        <w:t>M21</w:t>
      </w:r>
    </w:p>
    <w:p w14:paraId="6BEF7961" w14:textId="77777777" w:rsidR="003C7B9C" w:rsidRPr="00BD4DE0" w:rsidRDefault="003C7B9C" w:rsidP="00BD4DE0">
      <w:pPr>
        <w:pStyle w:val="ListParagraph"/>
        <w:tabs>
          <w:tab w:val="left" w:pos="0"/>
          <w:tab w:val="left" w:pos="284"/>
          <w:tab w:val="left" w:pos="426"/>
        </w:tabs>
        <w:suppressAutoHyphens w:val="0"/>
        <w:ind w:left="0"/>
        <w:jc w:val="both"/>
        <w:rPr>
          <w:b/>
          <w:iCs/>
          <w:szCs w:val="24"/>
        </w:rPr>
      </w:pPr>
    </w:p>
    <w:p w14:paraId="5D105E25" w14:textId="77777777" w:rsidR="003C7B9C" w:rsidRPr="00BD4DE0" w:rsidRDefault="003C7B9C" w:rsidP="00BD4DE0">
      <w:pPr>
        <w:pStyle w:val="ListParagraph"/>
        <w:numPr>
          <w:ilvl w:val="0"/>
          <w:numId w:val="34"/>
        </w:numPr>
        <w:tabs>
          <w:tab w:val="left" w:pos="1785"/>
        </w:tabs>
        <w:autoSpaceDN/>
        <w:contextualSpacing/>
        <w:jc w:val="both"/>
        <w:textAlignment w:val="auto"/>
        <w:rPr>
          <w:bCs/>
          <w:szCs w:val="24"/>
        </w:rPr>
      </w:pPr>
      <w:r w:rsidRPr="00BD4DE0">
        <w:rPr>
          <w:bCs/>
          <w:szCs w:val="24"/>
        </w:rPr>
        <w:t xml:space="preserve">Lior, N., </w:t>
      </w:r>
      <w:r w:rsidRPr="00BD4DE0">
        <w:rPr>
          <w:b/>
          <w:bCs/>
          <w:szCs w:val="24"/>
        </w:rPr>
        <w:t>Radovanović, M</w:t>
      </w:r>
      <w:r w:rsidRPr="00BD4DE0">
        <w:rPr>
          <w:bCs/>
          <w:szCs w:val="24"/>
        </w:rPr>
        <w:t xml:space="preserve">., Filipović, S. (2018) </w:t>
      </w:r>
      <w:r w:rsidRPr="00BD4DE0">
        <w:rPr>
          <w:bCs/>
          <w:i/>
          <w:szCs w:val="24"/>
        </w:rPr>
        <w:t xml:space="preserve">Comparing sustainable development measurement based on different priorities: Sustainable Development Goals, economics, and human well-being - Southeast Europe case. </w:t>
      </w:r>
      <w:r w:rsidRPr="00BD4DE0">
        <w:rPr>
          <w:bCs/>
          <w:szCs w:val="24"/>
        </w:rPr>
        <w:t>Sustainability Science, Volume 13, Issue 4, pages: 973-1000.</w:t>
      </w:r>
    </w:p>
    <w:p w14:paraId="57F89E76" w14:textId="77777777" w:rsidR="003C7B9C" w:rsidRPr="00BD4DE0" w:rsidRDefault="003C7B9C" w:rsidP="00BD4DE0">
      <w:pPr>
        <w:pStyle w:val="ListParagraph"/>
        <w:tabs>
          <w:tab w:val="left" w:pos="1785"/>
        </w:tabs>
        <w:jc w:val="both"/>
        <w:rPr>
          <w:szCs w:val="24"/>
        </w:rPr>
      </w:pPr>
      <w:hyperlink r:id="rId28" w:history="1">
        <w:r w:rsidRPr="00BD4DE0">
          <w:rPr>
            <w:rStyle w:val="Hyperlink"/>
            <w:szCs w:val="24"/>
          </w:rPr>
          <w:t>https://doi.org/10.1007/s11625-018-0557-2</w:t>
        </w:r>
      </w:hyperlink>
      <w:r w:rsidRPr="00BD4DE0">
        <w:rPr>
          <w:szCs w:val="24"/>
        </w:rPr>
        <w:t xml:space="preserve"> </w:t>
      </w:r>
    </w:p>
    <w:p w14:paraId="77E3F9B8" w14:textId="77777777" w:rsidR="003C7B9C" w:rsidRPr="00BD4DE0" w:rsidRDefault="003C7B9C" w:rsidP="00BD4DE0">
      <w:pPr>
        <w:pStyle w:val="ListParagraph"/>
        <w:numPr>
          <w:ilvl w:val="0"/>
          <w:numId w:val="34"/>
        </w:numPr>
        <w:tabs>
          <w:tab w:val="left" w:pos="1785"/>
        </w:tabs>
        <w:autoSpaceDN/>
        <w:contextualSpacing/>
        <w:jc w:val="both"/>
        <w:textAlignment w:val="auto"/>
        <w:rPr>
          <w:bCs/>
          <w:szCs w:val="24"/>
        </w:rPr>
      </w:pPr>
      <w:r w:rsidRPr="00BD4DE0">
        <w:rPr>
          <w:bCs/>
          <w:szCs w:val="24"/>
        </w:rPr>
        <w:t xml:space="preserve">Lior N, </w:t>
      </w:r>
      <w:r w:rsidRPr="00BD4DE0">
        <w:rPr>
          <w:b/>
          <w:bCs/>
          <w:szCs w:val="24"/>
        </w:rPr>
        <w:t>Radovanović M</w:t>
      </w:r>
      <w:r w:rsidRPr="00BD4DE0">
        <w:rPr>
          <w:bCs/>
          <w:szCs w:val="24"/>
        </w:rPr>
        <w:t xml:space="preserve">. (2017) </w:t>
      </w:r>
      <w:r w:rsidRPr="00BD4DE0">
        <w:rPr>
          <w:bCs/>
          <w:i/>
          <w:szCs w:val="24"/>
        </w:rPr>
        <w:t>Sustainable economic-environmental planning in South-East Europe – beyond-GDP and climate change emphases</w:t>
      </w:r>
      <w:r w:rsidRPr="00BD4DE0">
        <w:rPr>
          <w:bCs/>
          <w:szCs w:val="24"/>
        </w:rPr>
        <w:t xml:space="preserve">, Sustainable Development, Volume 25, Issue 6, pages 580–594. COBISS.SR-ID 317623303. </w:t>
      </w:r>
    </w:p>
    <w:p w14:paraId="7FEFF469" w14:textId="77777777" w:rsidR="003C7B9C" w:rsidRPr="00BD4DE0" w:rsidRDefault="003C7B9C" w:rsidP="00BD4DE0">
      <w:pPr>
        <w:pStyle w:val="ListParagraph"/>
        <w:tabs>
          <w:tab w:val="left" w:pos="1785"/>
        </w:tabs>
        <w:jc w:val="both"/>
        <w:rPr>
          <w:szCs w:val="24"/>
        </w:rPr>
      </w:pPr>
      <w:hyperlink r:id="rId29" w:history="1">
        <w:r w:rsidRPr="00BD4DE0">
          <w:rPr>
            <w:rStyle w:val="Hyperlink"/>
            <w:szCs w:val="24"/>
          </w:rPr>
          <w:t>https://doi.org/10.1002/sd.1679</w:t>
        </w:r>
      </w:hyperlink>
      <w:r w:rsidRPr="00BD4DE0">
        <w:rPr>
          <w:szCs w:val="24"/>
        </w:rPr>
        <w:t xml:space="preserve"> </w:t>
      </w:r>
    </w:p>
    <w:p w14:paraId="338067FE" w14:textId="77777777" w:rsidR="003C7B9C" w:rsidRPr="00BD4DE0" w:rsidRDefault="003C7B9C" w:rsidP="00BD4DE0">
      <w:pPr>
        <w:pStyle w:val="ListParagraph"/>
        <w:numPr>
          <w:ilvl w:val="0"/>
          <w:numId w:val="34"/>
        </w:numPr>
        <w:autoSpaceDN/>
        <w:contextualSpacing/>
        <w:jc w:val="both"/>
        <w:textAlignment w:val="auto"/>
        <w:rPr>
          <w:szCs w:val="24"/>
          <w:highlight w:val="white"/>
        </w:rPr>
      </w:pPr>
      <w:r w:rsidRPr="00BD4DE0">
        <w:rPr>
          <w:szCs w:val="24"/>
        </w:rPr>
        <w:t>Filipović S, Verbič M,</w:t>
      </w:r>
      <w:r w:rsidRPr="00BD4DE0">
        <w:rPr>
          <w:b/>
          <w:szCs w:val="24"/>
        </w:rPr>
        <w:t xml:space="preserve"> Radovanović M. </w:t>
      </w:r>
      <w:r w:rsidRPr="00BD4DE0">
        <w:rPr>
          <w:szCs w:val="24"/>
        </w:rPr>
        <w:t>(2015)</w:t>
      </w:r>
      <w:r w:rsidRPr="00BD4DE0">
        <w:rPr>
          <w:b/>
          <w:szCs w:val="24"/>
        </w:rPr>
        <w:t xml:space="preserve"> </w:t>
      </w:r>
      <w:r w:rsidRPr="00BD4DE0">
        <w:rPr>
          <w:i/>
          <w:iCs/>
          <w:szCs w:val="24"/>
          <w:shd w:val="clear" w:color="auto" w:fill="FFFFFF"/>
        </w:rPr>
        <w:t>Determinants of energy intensity in the European Union: A panel data analysis</w:t>
      </w:r>
      <w:r w:rsidRPr="00BD4DE0">
        <w:rPr>
          <w:szCs w:val="24"/>
          <w:shd w:val="clear" w:color="auto" w:fill="FFFFFF"/>
        </w:rPr>
        <w:t>, Energy, Vol. 92, Issue 3, pages 547-555, 2015.</w:t>
      </w:r>
    </w:p>
    <w:p w14:paraId="60223AE3" w14:textId="77777777" w:rsidR="003C7B9C" w:rsidRPr="00BD4DE0" w:rsidRDefault="003C7B9C" w:rsidP="00BD4DE0">
      <w:pPr>
        <w:ind w:firstLine="720"/>
        <w:jc w:val="both"/>
        <w:rPr>
          <w:rFonts w:ascii="Times New Roman" w:hAnsi="Times New Roman" w:cs="Times New Roman"/>
          <w:szCs w:val="24"/>
        </w:rPr>
      </w:pPr>
      <w:hyperlink r:id="rId30" w:history="1">
        <w:r w:rsidRPr="00BD4DE0">
          <w:rPr>
            <w:rStyle w:val="Hyperlink"/>
            <w:rFonts w:ascii="Times New Roman" w:hAnsi="Times New Roman" w:cs="Times New Roman"/>
            <w:szCs w:val="24"/>
          </w:rPr>
          <w:t>https://doi.org/10.1016/j.energy.2015.07.011</w:t>
        </w:r>
      </w:hyperlink>
      <w:r w:rsidRPr="00BD4DE0">
        <w:rPr>
          <w:rFonts w:ascii="Times New Roman" w:hAnsi="Times New Roman" w:cs="Times New Roman"/>
          <w:szCs w:val="24"/>
        </w:rPr>
        <w:t xml:space="preserve">  </w:t>
      </w:r>
    </w:p>
    <w:p w14:paraId="1C39F879" w14:textId="77777777" w:rsidR="003C7B9C" w:rsidRPr="00BD4DE0" w:rsidRDefault="003C7B9C" w:rsidP="00BD4DE0">
      <w:pPr>
        <w:pStyle w:val="ListParagraph"/>
        <w:numPr>
          <w:ilvl w:val="0"/>
          <w:numId w:val="34"/>
        </w:numPr>
        <w:autoSpaceDN/>
        <w:contextualSpacing/>
        <w:jc w:val="both"/>
        <w:textAlignment w:val="auto"/>
        <w:rPr>
          <w:szCs w:val="24"/>
        </w:rPr>
      </w:pPr>
      <w:r w:rsidRPr="00BD4DE0">
        <w:rPr>
          <w:b/>
          <w:bCs/>
          <w:szCs w:val="24"/>
        </w:rPr>
        <w:t>Golušin M</w:t>
      </w:r>
      <w:r w:rsidRPr="00BD4DE0">
        <w:rPr>
          <w:szCs w:val="24"/>
        </w:rPr>
        <w:t xml:space="preserve">, Munitlak-Ivanović O, Redžepagić S. (2013) </w:t>
      </w:r>
      <w:r w:rsidRPr="00BD4DE0">
        <w:rPr>
          <w:i/>
          <w:iCs/>
          <w:szCs w:val="24"/>
        </w:rPr>
        <w:t xml:space="preserve">Transition from traditional to sustainable energy development in the region of Western Balkans – current level and requirements, </w:t>
      </w:r>
      <w:r w:rsidRPr="00BD4DE0">
        <w:rPr>
          <w:iCs/>
          <w:szCs w:val="24"/>
        </w:rPr>
        <w:t xml:space="preserve">Applied Energy, </w:t>
      </w:r>
      <w:r w:rsidRPr="00BD4DE0">
        <w:rPr>
          <w:szCs w:val="24"/>
        </w:rPr>
        <w:t>Vol 101, pages 182-191.</w:t>
      </w:r>
    </w:p>
    <w:bookmarkStart w:id="12" w:name="_Hlk12027654"/>
    <w:p w14:paraId="76FE03E9" w14:textId="77777777" w:rsidR="003C7B9C" w:rsidRPr="00BD4DE0" w:rsidRDefault="003C7B9C" w:rsidP="00BD4DE0">
      <w:pPr>
        <w:ind w:firstLine="720"/>
        <w:jc w:val="both"/>
        <w:rPr>
          <w:rFonts w:ascii="Times New Roman" w:hAnsi="Times New Roman" w:cs="Times New Roman"/>
          <w:szCs w:val="24"/>
        </w:rPr>
      </w:pPr>
      <w:r w:rsidRPr="00BD4DE0">
        <w:rPr>
          <w:rFonts w:ascii="Times New Roman" w:hAnsi="Times New Roman" w:cs="Times New Roman"/>
          <w:szCs w:val="24"/>
        </w:rPr>
        <w:fldChar w:fldCharType="begin"/>
      </w:r>
      <w:r w:rsidRPr="00BD4DE0">
        <w:rPr>
          <w:rFonts w:ascii="Times New Roman" w:hAnsi="Times New Roman" w:cs="Times New Roman"/>
          <w:szCs w:val="24"/>
        </w:rPr>
        <w:instrText xml:space="preserve"> HYPERLINK "http://dx.doi.org/10.1016/j.apenergy.2012.06.008" \h </w:instrText>
      </w:r>
      <w:r w:rsidRPr="00BD4DE0">
        <w:rPr>
          <w:rFonts w:ascii="Times New Roman" w:hAnsi="Times New Roman" w:cs="Times New Roman"/>
          <w:szCs w:val="24"/>
        </w:rPr>
      </w:r>
      <w:r w:rsidRPr="00BD4DE0">
        <w:rPr>
          <w:rFonts w:ascii="Times New Roman" w:hAnsi="Times New Roman" w:cs="Times New Roman"/>
          <w:szCs w:val="24"/>
        </w:rPr>
        <w:fldChar w:fldCharType="separate"/>
      </w:r>
      <w:r w:rsidRPr="00BD4DE0">
        <w:rPr>
          <w:rStyle w:val="InternetLink0"/>
          <w:rFonts w:ascii="Times New Roman" w:hAnsi="Times New Roman" w:cs="Times New Roman"/>
          <w:szCs w:val="24"/>
          <w:highlight w:val="white"/>
        </w:rPr>
        <w:t>http://dx.doi.org/10.1016/j.apenergy.2012.06.008</w:t>
      </w:r>
      <w:r w:rsidRPr="00BD4DE0">
        <w:rPr>
          <w:rStyle w:val="InternetLink0"/>
          <w:rFonts w:ascii="Times New Roman" w:hAnsi="Times New Roman" w:cs="Times New Roman"/>
          <w:szCs w:val="24"/>
          <w:highlight w:val="white"/>
        </w:rPr>
        <w:fldChar w:fldCharType="end"/>
      </w:r>
    </w:p>
    <w:bookmarkEnd w:id="12"/>
    <w:p w14:paraId="09E8E634" w14:textId="77777777" w:rsidR="003C7B9C" w:rsidRPr="00BD4DE0" w:rsidRDefault="003C7B9C" w:rsidP="00BD4DE0">
      <w:pPr>
        <w:pStyle w:val="ListParagraph"/>
        <w:numPr>
          <w:ilvl w:val="0"/>
          <w:numId w:val="34"/>
        </w:numPr>
        <w:autoSpaceDN/>
        <w:contextualSpacing/>
        <w:jc w:val="both"/>
        <w:textAlignment w:val="auto"/>
        <w:rPr>
          <w:szCs w:val="24"/>
        </w:rPr>
      </w:pPr>
      <w:r w:rsidRPr="00BD4DE0">
        <w:rPr>
          <w:szCs w:val="24"/>
          <w:lang w:val="sr-Latn-CS"/>
        </w:rPr>
        <w:lastRenderedPageBreak/>
        <w:t xml:space="preserve">Đuran J, </w:t>
      </w:r>
      <w:r w:rsidRPr="00BD4DE0">
        <w:rPr>
          <w:b/>
          <w:bCs/>
          <w:szCs w:val="24"/>
          <w:lang w:val="sr-Latn-CS"/>
        </w:rPr>
        <w:t>Golušin M,</w:t>
      </w:r>
      <w:r w:rsidRPr="00BD4DE0">
        <w:rPr>
          <w:szCs w:val="24"/>
          <w:lang w:val="sr-Latn-CS"/>
        </w:rPr>
        <w:t xml:space="preserve"> Munitlak-Ivanović O, Jovanović L, Andrejević A. (2013) </w:t>
      </w:r>
      <w:r w:rsidRPr="00BD4DE0">
        <w:rPr>
          <w:i/>
          <w:iCs/>
          <w:szCs w:val="24"/>
        </w:rPr>
        <w:t xml:space="preserve">Renewable energy and socio - economic development in the European Union, </w:t>
      </w:r>
      <w:r w:rsidRPr="00BD4DE0">
        <w:rPr>
          <w:szCs w:val="24"/>
        </w:rPr>
        <w:t>Problems of Sustainable Development, Vol.8, No 1, pages 105-114.</w:t>
      </w:r>
    </w:p>
    <w:p w14:paraId="46D40360" w14:textId="77777777" w:rsidR="003C7B9C" w:rsidRPr="00BD4DE0" w:rsidRDefault="003C7B9C" w:rsidP="00BD4DE0">
      <w:pPr>
        <w:ind w:firstLine="720"/>
        <w:jc w:val="both"/>
        <w:rPr>
          <w:rFonts w:ascii="Times New Roman" w:hAnsi="Times New Roman" w:cs="Times New Roman"/>
          <w:szCs w:val="24"/>
        </w:rPr>
      </w:pPr>
      <w:hyperlink r:id="rId31">
        <w:r w:rsidRPr="00BD4DE0">
          <w:rPr>
            <w:rStyle w:val="InternetLink0"/>
            <w:rFonts w:ascii="Times New Roman" w:hAnsi="Times New Roman" w:cs="Times New Roman"/>
            <w:color w:val="4BACC6"/>
            <w:szCs w:val="24"/>
          </w:rPr>
          <w:t>http://ekorozwoj.pol.lublin.pl/no15/k.pdf</w:t>
        </w:r>
      </w:hyperlink>
    </w:p>
    <w:p w14:paraId="4E925357" w14:textId="77777777" w:rsidR="003C7B9C" w:rsidRPr="00BD4DE0" w:rsidRDefault="003C7B9C" w:rsidP="00BD4DE0">
      <w:pPr>
        <w:pStyle w:val="ListParagraph"/>
        <w:numPr>
          <w:ilvl w:val="0"/>
          <w:numId w:val="34"/>
        </w:numPr>
        <w:autoSpaceDN/>
        <w:contextualSpacing/>
        <w:jc w:val="both"/>
        <w:textAlignment w:val="auto"/>
        <w:rPr>
          <w:szCs w:val="24"/>
        </w:rPr>
      </w:pPr>
      <w:r w:rsidRPr="00BD4DE0">
        <w:rPr>
          <w:b/>
          <w:bCs/>
          <w:color w:val="000000"/>
          <w:szCs w:val="24"/>
        </w:rPr>
        <w:t>Golušin M</w:t>
      </w:r>
      <w:r w:rsidRPr="00BD4DE0">
        <w:rPr>
          <w:color w:val="000000"/>
          <w:szCs w:val="24"/>
        </w:rPr>
        <w:t>, Munitlak-Ivanović O, Jovanović L, Domazet</w:t>
      </w:r>
      <w:r w:rsidRPr="00BD4DE0">
        <w:rPr>
          <w:szCs w:val="24"/>
        </w:rPr>
        <w:t xml:space="preserve"> S. (2012) </w:t>
      </w:r>
      <w:r w:rsidRPr="00BD4DE0">
        <w:rPr>
          <w:i/>
          <w:iCs/>
          <w:szCs w:val="24"/>
        </w:rPr>
        <w:t xml:space="preserve">Determination of ecological-economic degree of development in Countries of SE Europe - weight coefficients technique, </w:t>
      </w:r>
      <w:r w:rsidRPr="00BD4DE0">
        <w:rPr>
          <w:szCs w:val="24"/>
        </w:rPr>
        <w:t xml:space="preserve">Problems of Sustainable Development, Vol 7, No 1, pages 87-93.  </w:t>
      </w:r>
    </w:p>
    <w:p w14:paraId="5E9405CC" w14:textId="77777777" w:rsidR="003C7B9C" w:rsidRPr="00BD4DE0" w:rsidRDefault="003C7B9C" w:rsidP="00BD4DE0">
      <w:pPr>
        <w:ind w:firstLine="720"/>
        <w:jc w:val="both"/>
        <w:rPr>
          <w:rFonts w:ascii="Times New Roman" w:hAnsi="Times New Roman" w:cs="Times New Roman"/>
          <w:szCs w:val="24"/>
        </w:rPr>
      </w:pPr>
      <w:hyperlink r:id="rId32">
        <w:r w:rsidRPr="00BD4DE0">
          <w:rPr>
            <w:rStyle w:val="InternetLink0"/>
            <w:rFonts w:ascii="Times New Roman" w:hAnsi="Times New Roman" w:cs="Times New Roman"/>
            <w:color w:val="4F81BD"/>
            <w:szCs w:val="24"/>
          </w:rPr>
          <w:t>http://ekorozwoj.pol.lublin.pl/no13/i.pdf</w:t>
        </w:r>
      </w:hyperlink>
    </w:p>
    <w:p w14:paraId="6FAF511A" w14:textId="77777777" w:rsidR="003C7B9C" w:rsidRPr="00BD4DE0" w:rsidRDefault="003C7B9C" w:rsidP="00BD4DE0">
      <w:pPr>
        <w:pStyle w:val="ListParagraph"/>
        <w:numPr>
          <w:ilvl w:val="0"/>
          <w:numId w:val="34"/>
        </w:numPr>
        <w:autoSpaceDN/>
        <w:contextualSpacing/>
        <w:jc w:val="both"/>
        <w:textAlignment w:val="auto"/>
        <w:rPr>
          <w:szCs w:val="24"/>
        </w:rPr>
      </w:pPr>
      <w:r w:rsidRPr="00BD4DE0">
        <w:rPr>
          <w:b/>
          <w:bCs/>
          <w:szCs w:val="24"/>
        </w:rPr>
        <w:t>Golušin M</w:t>
      </w:r>
      <w:r w:rsidRPr="00BD4DE0">
        <w:rPr>
          <w:szCs w:val="24"/>
        </w:rPr>
        <w:t xml:space="preserve">, Munitlak-Ivanović O. (2011) </w:t>
      </w:r>
      <w:r w:rsidRPr="00BD4DE0">
        <w:rPr>
          <w:i/>
          <w:iCs/>
          <w:szCs w:val="24"/>
        </w:rPr>
        <w:t xml:space="preserve">Kyoto protocol implementation in Serbia as precognition of sustainable energetic and economic development, </w:t>
      </w:r>
      <w:r w:rsidRPr="00BD4DE0">
        <w:rPr>
          <w:iCs/>
          <w:szCs w:val="24"/>
        </w:rPr>
        <w:t>Energy Policy,</w:t>
      </w:r>
      <w:r w:rsidRPr="00BD4DE0">
        <w:rPr>
          <w:i/>
          <w:iCs/>
          <w:szCs w:val="24"/>
        </w:rPr>
        <w:t xml:space="preserve"> </w:t>
      </w:r>
      <w:r w:rsidRPr="00BD4DE0">
        <w:rPr>
          <w:szCs w:val="24"/>
        </w:rPr>
        <w:t xml:space="preserve">Vol 39, Issue 5, pages 2800-2807. </w:t>
      </w:r>
    </w:p>
    <w:bookmarkStart w:id="13" w:name="_Hlk12027708"/>
    <w:p w14:paraId="33C74529" w14:textId="77777777" w:rsidR="003C7B9C" w:rsidRPr="00BD4DE0" w:rsidRDefault="003C7B9C" w:rsidP="00BD4DE0">
      <w:pPr>
        <w:ind w:firstLine="720"/>
        <w:jc w:val="both"/>
        <w:rPr>
          <w:rFonts w:ascii="Times New Roman" w:hAnsi="Times New Roman" w:cs="Times New Roman"/>
          <w:szCs w:val="24"/>
        </w:rPr>
      </w:pPr>
      <w:r w:rsidRPr="00BD4DE0">
        <w:rPr>
          <w:rFonts w:ascii="Times New Roman" w:hAnsi="Times New Roman" w:cs="Times New Roman"/>
          <w:szCs w:val="24"/>
        </w:rPr>
        <w:fldChar w:fldCharType="begin"/>
      </w:r>
      <w:r w:rsidRPr="00BD4DE0">
        <w:rPr>
          <w:rFonts w:ascii="Times New Roman" w:hAnsi="Times New Roman" w:cs="Times New Roman"/>
          <w:szCs w:val="24"/>
        </w:rPr>
        <w:instrText xml:space="preserve"> HYPERLINK "http://dx.doi.org/10.1016/j.enpol.2011.02.052" \t "doilink" \h </w:instrText>
      </w:r>
      <w:r w:rsidRPr="00BD4DE0">
        <w:rPr>
          <w:rFonts w:ascii="Times New Roman" w:hAnsi="Times New Roman" w:cs="Times New Roman"/>
          <w:szCs w:val="24"/>
        </w:rPr>
      </w:r>
      <w:r w:rsidRPr="00BD4DE0">
        <w:rPr>
          <w:rFonts w:ascii="Times New Roman" w:hAnsi="Times New Roman" w:cs="Times New Roman"/>
          <w:szCs w:val="24"/>
        </w:rPr>
        <w:fldChar w:fldCharType="separate"/>
      </w:r>
      <w:r w:rsidRPr="00BD4DE0">
        <w:rPr>
          <w:rStyle w:val="InternetLink0"/>
          <w:rFonts w:ascii="Times New Roman" w:hAnsi="Times New Roman" w:cs="Times New Roman"/>
          <w:color w:val="4F81BD"/>
          <w:szCs w:val="24"/>
          <w:highlight w:val="white"/>
        </w:rPr>
        <w:t>http://dx.doi.org/10.1016/j.enpol.2011.02.052</w:t>
      </w:r>
      <w:r w:rsidRPr="00BD4DE0">
        <w:rPr>
          <w:rStyle w:val="InternetLink0"/>
          <w:rFonts w:ascii="Times New Roman" w:hAnsi="Times New Roman" w:cs="Times New Roman"/>
          <w:color w:val="4F81BD"/>
          <w:szCs w:val="24"/>
          <w:highlight w:val="white"/>
        </w:rPr>
        <w:fldChar w:fldCharType="end"/>
      </w:r>
    </w:p>
    <w:bookmarkEnd w:id="13"/>
    <w:p w14:paraId="7EB51354" w14:textId="77777777" w:rsidR="003C7B9C" w:rsidRPr="00BD4DE0" w:rsidRDefault="003C7B9C" w:rsidP="00BD4DE0">
      <w:pPr>
        <w:pStyle w:val="ListParagraph"/>
        <w:tabs>
          <w:tab w:val="left" w:pos="0"/>
          <w:tab w:val="left" w:pos="284"/>
          <w:tab w:val="left" w:pos="426"/>
        </w:tabs>
        <w:suppressAutoHyphens w:val="0"/>
        <w:ind w:left="0"/>
        <w:jc w:val="both"/>
        <w:rPr>
          <w:b/>
          <w:iCs/>
          <w:szCs w:val="24"/>
        </w:rPr>
      </w:pPr>
    </w:p>
    <w:p w14:paraId="66B81876" w14:textId="77777777" w:rsidR="00065158" w:rsidRPr="00BD4DE0" w:rsidRDefault="00065158" w:rsidP="00BD4DE0">
      <w:pPr>
        <w:pStyle w:val="ListParagraph"/>
        <w:tabs>
          <w:tab w:val="left" w:pos="0"/>
          <w:tab w:val="left" w:pos="284"/>
          <w:tab w:val="left" w:pos="426"/>
        </w:tabs>
        <w:suppressAutoHyphens w:val="0"/>
        <w:ind w:left="0"/>
        <w:jc w:val="both"/>
        <w:rPr>
          <w:b/>
          <w:iCs/>
          <w:szCs w:val="24"/>
        </w:rPr>
      </w:pPr>
    </w:p>
    <w:p w14:paraId="03B36AC4" w14:textId="178E6A7E" w:rsidR="003C7B9C" w:rsidRPr="00BD4DE0" w:rsidRDefault="003C7B9C" w:rsidP="00BD4DE0">
      <w:pPr>
        <w:pStyle w:val="ListParagraph"/>
        <w:tabs>
          <w:tab w:val="left" w:pos="0"/>
          <w:tab w:val="left" w:pos="284"/>
          <w:tab w:val="left" w:pos="426"/>
        </w:tabs>
        <w:suppressAutoHyphens w:val="0"/>
        <w:ind w:left="0"/>
        <w:jc w:val="both"/>
        <w:rPr>
          <w:b/>
          <w:iCs/>
          <w:szCs w:val="24"/>
        </w:rPr>
      </w:pPr>
      <w:r w:rsidRPr="00BD4DE0">
        <w:rPr>
          <w:b/>
          <w:iCs/>
          <w:szCs w:val="24"/>
        </w:rPr>
        <w:t>M22</w:t>
      </w:r>
    </w:p>
    <w:p w14:paraId="15138E63" w14:textId="77777777" w:rsidR="003C7B9C" w:rsidRPr="00BD4DE0" w:rsidRDefault="003C7B9C" w:rsidP="00BD4DE0">
      <w:pPr>
        <w:pStyle w:val="ListParagraph"/>
        <w:tabs>
          <w:tab w:val="left" w:pos="0"/>
          <w:tab w:val="left" w:pos="284"/>
          <w:tab w:val="left" w:pos="426"/>
        </w:tabs>
        <w:suppressAutoHyphens w:val="0"/>
        <w:ind w:left="0"/>
        <w:jc w:val="both"/>
        <w:rPr>
          <w:b/>
          <w:iCs/>
          <w:szCs w:val="24"/>
        </w:rPr>
      </w:pPr>
    </w:p>
    <w:p w14:paraId="2A4A33BF" w14:textId="77777777" w:rsidR="003C7B9C" w:rsidRPr="00BD4DE0" w:rsidRDefault="003C7B9C" w:rsidP="00BD4DE0">
      <w:pPr>
        <w:pStyle w:val="ListParagraph"/>
        <w:numPr>
          <w:ilvl w:val="0"/>
          <w:numId w:val="35"/>
        </w:numPr>
        <w:tabs>
          <w:tab w:val="left" w:pos="1785"/>
        </w:tabs>
        <w:autoSpaceDN/>
        <w:contextualSpacing/>
        <w:jc w:val="both"/>
        <w:textAlignment w:val="auto"/>
        <w:rPr>
          <w:bCs/>
          <w:szCs w:val="24"/>
        </w:rPr>
      </w:pPr>
      <w:r w:rsidRPr="00BD4DE0">
        <w:rPr>
          <w:b/>
          <w:szCs w:val="24"/>
        </w:rPr>
        <w:t>Radovanović, M</w:t>
      </w:r>
      <w:r w:rsidRPr="00BD4DE0">
        <w:rPr>
          <w:bCs/>
          <w:szCs w:val="24"/>
        </w:rPr>
        <w:t xml:space="preserve">., Filipović, S., Vukadinović, S., Trbojević, M., Podbregar, I. 2022. Decarbonization of Eastern European economies: monitoring, economic, social and security concerns. Energy, Sustainability and Society, 12, 16, </w:t>
      </w:r>
      <w:hyperlink r:id="rId33" w:history="1">
        <w:r w:rsidRPr="00BD4DE0">
          <w:rPr>
            <w:rStyle w:val="Hyperlink"/>
            <w:bCs/>
            <w:szCs w:val="24"/>
          </w:rPr>
          <w:t>https://doi.org/10.1186/s13705-022-00342-8</w:t>
        </w:r>
      </w:hyperlink>
      <w:r w:rsidRPr="00BD4DE0">
        <w:rPr>
          <w:bCs/>
          <w:szCs w:val="24"/>
        </w:rPr>
        <w:t xml:space="preserve">  </w:t>
      </w:r>
    </w:p>
    <w:p w14:paraId="7BB000AC" w14:textId="77777777" w:rsidR="003C7B9C" w:rsidRPr="00BD4DE0" w:rsidRDefault="003C7B9C" w:rsidP="00BD4DE0">
      <w:pPr>
        <w:pStyle w:val="ListParagraph"/>
        <w:numPr>
          <w:ilvl w:val="0"/>
          <w:numId w:val="35"/>
        </w:numPr>
        <w:tabs>
          <w:tab w:val="left" w:pos="1785"/>
        </w:tabs>
        <w:autoSpaceDN/>
        <w:contextualSpacing/>
        <w:jc w:val="both"/>
        <w:textAlignment w:val="auto"/>
        <w:rPr>
          <w:bCs/>
          <w:szCs w:val="24"/>
        </w:rPr>
      </w:pPr>
      <w:r w:rsidRPr="00BD4DE0">
        <w:rPr>
          <w:b/>
          <w:szCs w:val="24"/>
        </w:rPr>
        <w:t>Radovanović, M</w:t>
      </w:r>
      <w:r w:rsidRPr="00BD4DE0">
        <w:rPr>
          <w:bCs/>
          <w:szCs w:val="24"/>
        </w:rPr>
        <w:t xml:space="preserve">., Filipović, S., Andrejević-Panić, A., 2021. Sustainable energy transition in Central Asia – status and challenges. Energy, Sustainability and Society, 11, 49. </w:t>
      </w:r>
    </w:p>
    <w:p w14:paraId="2A16C1F8" w14:textId="77777777" w:rsidR="003C7B9C" w:rsidRPr="00BD4DE0" w:rsidRDefault="003C7B9C" w:rsidP="00BD4DE0">
      <w:pPr>
        <w:pStyle w:val="ListParagraph"/>
        <w:tabs>
          <w:tab w:val="left" w:pos="1785"/>
        </w:tabs>
        <w:contextualSpacing/>
        <w:jc w:val="both"/>
        <w:rPr>
          <w:bCs/>
          <w:szCs w:val="24"/>
        </w:rPr>
      </w:pPr>
      <w:hyperlink r:id="rId34" w:history="1">
        <w:r w:rsidRPr="00BD4DE0">
          <w:rPr>
            <w:rStyle w:val="Hyperlink"/>
            <w:bCs/>
            <w:szCs w:val="24"/>
          </w:rPr>
          <w:t>https://doi.org/10.1186/s13705-021-00324-2</w:t>
        </w:r>
      </w:hyperlink>
      <w:r w:rsidRPr="00BD4DE0">
        <w:rPr>
          <w:bCs/>
          <w:szCs w:val="24"/>
        </w:rPr>
        <w:t xml:space="preserve">   </w:t>
      </w:r>
    </w:p>
    <w:p w14:paraId="461C07C2" w14:textId="77777777" w:rsidR="003C7B9C" w:rsidRPr="00BD4DE0" w:rsidRDefault="003C7B9C" w:rsidP="00BD4DE0">
      <w:pPr>
        <w:pStyle w:val="ListParagraph"/>
        <w:numPr>
          <w:ilvl w:val="0"/>
          <w:numId w:val="35"/>
        </w:numPr>
        <w:tabs>
          <w:tab w:val="left" w:pos="1785"/>
        </w:tabs>
        <w:autoSpaceDN/>
        <w:contextualSpacing/>
        <w:jc w:val="both"/>
        <w:textAlignment w:val="auto"/>
        <w:rPr>
          <w:bCs/>
          <w:szCs w:val="24"/>
        </w:rPr>
      </w:pPr>
      <w:r w:rsidRPr="00BD4DE0">
        <w:rPr>
          <w:bCs/>
          <w:szCs w:val="24"/>
        </w:rPr>
        <w:t xml:space="preserve">Šimić G, Radovanović M, Filipović S, Mirković Isaeva O. (2021) </w:t>
      </w:r>
      <w:r w:rsidRPr="00BD4DE0">
        <w:rPr>
          <w:bCs/>
          <w:i/>
          <w:iCs/>
          <w:szCs w:val="24"/>
        </w:rPr>
        <w:t>Fuzzy logic approach in energy security quantification - “ESecFuzzy” software application</w:t>
      </w:r>
      <w:r w:rsidRPr="00BD4DE0">
        <w:rPr>
          <w:bCs/>
          <w:szCs w:val="24"/>
        </w:rPr>
        <w:t>, Soft Computing, in press.</w:t>
      </w:r>
      <w:r w:rsidRPr="00BD4DE0">
        <w:rPr>
          <w:szCs w:val="24"/>
        </w:rPr>
        <w:t xml:space="preserve"> </w:t>
      </w:r>
      <w:hyperlink r:id="rId35" w:history="1">
        <w:r w:rsidRPr="00BD4DE0">
          <w:rPr>
            <w:rStyle w:val="Hyperlink"/>
            <w:bCs/>
            <w:szCs w:val="24"/>
          </w:rPr>
          <w:t>https://doi.org/10.1007/s00500-021-05976-y</w:t>
        </w:r>
      </w:hyperlink>
      <w:r w:rsidRPr="00BD4DE0">
        <w:rPr>
          <w:bCs/>
          <w:szCs w:val="24"/>
        </w:rPr>
        <w:t xml:space="preserve"> </w:t>
      </w:r>
    </w:p>
    <w:p w14:paraId="3C626DF3" w14:textId="77777777" w:rsidR="003C7B9C" w:rsidRPr="00BD4DE0" w:rsidRDefault="003C7B9C" w:rsidP="00BD4DE0">
      <w:pPr>
        <w:pStyle w:val="ListParagraph"/>
        <w:numPr>
          <w:ilvl w:val="0"/>
          <w:numId w:val="35"/>
        </w:numPr>
        <w:tabs>
          <w:tab w:val="left" w:pos="1785"/>
        </w:tabs>
        <w:autoSpaceDN/>
        <w:contextualSpacing/>
        <w:jc w:val="both"/>
        <w:textAlignment w:val="auto"/>
        <w:rPr>
          <w:bCs/>
          <w:szCs w:val="24"/>
        </w:rPr>
      </w:pPr>
      <w:r w:rsidRPr="00BD4DE0">
        <w:rPr>
          <w:bCs/>
          <w:szCs w:val="24"/>
        </w:rPr>
        <w:t xml:space="preserve">Podbregar I, Filipović S, Radovanović M, Mirković Isaeva O, Šprajc P. (2021) </w:t>
      </w:r>
      <w:r w:rsidRPr="00BD4DE0">
        <w:rPr>
          <w:bCs/>
          <w:i/>
          <w:iCs/>
          <w:szCs w:val="24"/>
        </w:rPr>
        <w:t>Electricity Prices and Consumer Behavior, Case Study Serbia—Randomized Control Trials Method</w:t>
      </w:r>
      <w:r w:rsidRPr="00BD4DE0">
        <w:rPr>
          <w:bCs/>
          <w:szCs w:val="24"/>
        </w:rPr>
        <w:t xml:space="preserve">. Energies, 14(3), 591. </w:t>
      </w:r>
      <w:hyperlink r:id="rId36" w:history="1">
        <w:r w:rsidRPr="00BD4DE0">
          <w:rPr>
            <w:rStyle w:val="Hyperlink"/>
            <w:bCs/>
            <w:szCs w:val="24"/>
          </w:rPr>
          <w:t>https://doi.org/10.3390/en14030591</w:t>
        </w:r>
      </w:hyperlink>
      <w:r w:rsidRPr="00BD4DE0">
        <w:rPr>
          <w:bCs/>
          <w:szCs w:val="24"/>
        </w:rPr>
        <w:t xml:space="preserve"> </w:t>
      </w:r>
    </w:p>
    <w:p w14:paraId="2720E044" w14:textId="77777777" w:rsidR="003C7B9C" w:rsidRPr="00BD4DE0" w:rsidRDefault="003C7B9C" w:rsidP="00BD4DE0">
      <w:pPr>
        <w:pStyle w:val="ListParagraph"/>
        <w:tabs>
          <w:tab w:val="left" w:pos="1785"/>
        </w:tabs>
        <w:jc w:val="both"/>
        <w:rPr>
          <w:bCs/>
          <w:szCs w:val="24"/>
        </w:rPr>
      </w:pPr>
      <w:r w:rsidRPr="00BD4DE0">
        <w:rPr>
          <w:bCs/>
          <w:szCs w:val="24"/>
        </w:rPr>
        <w:t>63/122</w:t>
      </w:r>
    </w:p>
    <w:p w14:paraId="33485424" w14:textId="77777777" w:rsidR="003C7B9C" w:rsidRPr="00BD4DE0" w:rsidRDefault="003C7B9C" w:rsidP="00BD4DE0">
      <w:pPr>
        <w:pStyle w:val="ListParagraph"/>
        <w:numPr>
          <w:ilvl w:val="0"/>
          <w:numId w:val="35"/>
        </w:numPr>
        <w:tabs>
          <w:tab w:val="left" w:pos="1785"/>
        </w:tabs>
        <w:autoSpaceDN/>
        <w:contextualSpacing/>
        <w:jc w:val="both"/>
        <w:textAlignment w:val="auto"/>
        <w:rPr>
          <w:bCs/>
          <w:szCs w:val="24"/>
        </w:rPr>
      </w:pPr>
      <w:r w:rsidRPr="00BD4DE0">
        <w:rPr>
          <w:bCs/>
          <w:szCs w:val="24"/>
        </w:rPr>
        <w:t xml:space="preserve">Podbregar, I, Šimić, G, </w:t>
      </w:r>
      <w:r w:rsidRPr="00BD4DE0">
        <w:rPr>
          <w:b/>
          <w:szCs w:val="24"/>
        </w:rPr>
        <w:t>Radovanović, M</w:t>
      </w:r>
      <w:r w:rsidRPr="00BD4DE0">
        <w:rPr>
          <w:bCs/>
          <w:szCs w:val="24"/>
        </w:rPr>
        <w:t>, Filipović, S, Maleti</w:t>
      </w:r>
      <w:r w:rsidRPr="00BD4DE0">
        <w:rPr>
          <w:bCs/>
          <w:szCs w:val="24"/>
          <w:lang w:val="sr-Latn-RS"/>
        </w:rPr>
        <w:t xml:space="preserve">č, D, </w:t>
      </w:r>
      <w:r w:rsidRPr="00BD4DE0">
        <w:rPr>
          <w:bCs/>
          <w:szCs w:val="24"/>
        </w:rPr>
        <w:t>Šprajc, P. (2020) </w:t>
      </w:r>
      <w:r w:rsidRPr="00BD4DE0">
        <w:rPr>
          <w:bCs/>
          <w:i/>
          <w:iCs/>
          <w:szCs w:val="24"/>
        </w:rPr>
        <w:t>The International Energy Security Risk Index in Sustainable Energy and Economy Transition Decision Making—A Reliability Analysis</w:t>
      </w:r>
      <w:r w:rsidRPr="00BD4DE0">
        <w:rPr>
          <w:bCs/>
          <w:szCs w:val="24"/>
        </w:rPr>
        <w:t xml:space="preserve">, Energies, Vol. 13, Issue 14, 3691. </w:t>
      </w:r>
      <w:hyperlink r:id="rId37" w:history="1">
        <w:r w:rsidRPr="00BD4DE0">
          <w:rPr>
            <w:rStyle w:val="Hyperlink"/>
            <w:bCs/>
            <w:szCs w:val="24"/>
          </w:rPr>
          <w:t>https://doi.org/10.3390/en13143691</w:t>
        </w:r>
      </w:hyperlink>
      <w:r w:rsidRPr="00BD4DE0">
        <w:rPr>
          <w:bCs/>
          <w:szCs w:val="24"/>
        </w:rPr>
        <w:t xml:space="preserve"> </w:t>
      </w:r>
    </w:p>
    <w:p w14:paraId="78D0AED5" w14:textId="77777777" w:rsidR="003C7B9C" w:rsidRPr="00BD4DE0" w:rsidRDefault="003C7B9C" w:rsidP="00BD4DE0">
      <w:pPr>
        <w:pStyle w:val="ListParagraph"/>
        <w:tabs>
          <w:tab w:val="left" w:pos="1785"/>
        </w:tabs>
        <w:jc w:val="both"/>
        <w:rPr>
          <w:bCs/>
          <w:szCs w:val="24"/>
        </w:rPr>
      </w:pPr>
      <w:bookmarkStart w:id="14" w:name="_Hlk46152979"/>
      <w:r w:rsidRPr="00BD4DE0">
        <w:rPr>
          <w:bCs/>
          <w:szCs w:val="24"/>
        </w:rPr>
        <w:t>Journal rank; 63/112</w:t>
      </w:r>
    </w:p>
    <w:bookmarkEnd w:id="14"/>
    <w:p w14:paraId="78D025B3" w14:textId="77777777" w:rsidR="003C7B9C" w:rsidRPr="00BD4DE0" w:rsidRDefault="003C7B9C" w:rsidP="00BD4DE0">
      <w:pPr>
        <w:pStyle w:val="ListParagraph"/>
        <w:numPr>
          <w:ilvl w:val="0"/>
          <w:numId w:val="35"/>
        </w:numPr>
        <w:tabs>
          <w:tab w:val="left" w:pos="1785"/>
        </w:tabs>
        <w:autoSpaceDN/>
        <w:contextualSpacing/>
        <w:jc w:val="both"/>
        <w:textAlignment w:val="auto"/>
        <w:rPr>
          <w:bCs/>
          <w:szCs w:val="24"/>
        </w:rPr>
      </w:pPr>
      <w:r w:rsidRPr="00BD4DE0">
        <w:rPr>
          <w:bCs/>
          <w:szCs w:val="24"/>
        </w:rPr>
        <w:t xml:space="preserve">Podbregar, I, Šimić, G, </w:t>
      </w:r>
      <w:r w:rsidRPr="00BD4DE0">
        <w:rPr>
          <w:b/>
          <w:szCs w:val="24"/>
        </w:rPr>
        <w:t>Radovanović, M</w:t>
      </w:r>
      <w:r w:rsidRPr="00BD4DE0">
        <w:rPr>
          <w:bCs/>
          <w:szCs w:val="24"/>
        </w:rPr>
        <w:t>, Filipović, S, Šprajc, P. (2020) </w:t>
      </w:r>
      <w:r w:rsidRPr="00BD4DE0">
        <w:rPr>
          <w:bCs/>
          <w:i/>
          <w:iCs/>
          <w:szCs w:val="24"/>
        </w:rPr>
        <w:t>International Energy</w:t>
      </w:r>
      <w:r w:rsidRPr="00BD4DE0">
        <w:rPr>
          <w:bCs/>
          <w:szCs w:val="24"/>
        </w:rPr>
        <w:t xml:space="preserve"> </w:t>
      </w:r>
      <w:r w:rsidRPr="00BD4DE0">
        <w:rPr>
          <w:bCs/>
          <w:i/>
          <w:iCs/>
          <w:szCs w:val="24"/>
        </w:rPr>
        <w:t>Security</w:t>
      </w:r>
      <w:r w:rsidRPr="00BD4DE0">
        <w:rPr>
          <w:bCs/>
          <w:i/>
          <w:iCs/>
          <w:szCs w:val="24"/>
          <w:lang w:val="sr-Cyrl-RS"/>
        </w:rPr>
        <w:t xml:space="preserve"> </w:t>
      </w:r>
      <w:r w:rsidRPr="00BD4DE0">
        <w:rPr>
          <w:bCs/>
          <w:i/>
          <w:iCs/>
          <w:szCs w:val="24"/>
        </w:rPr>
        <w:t>Risk Index - Analysis of the Methodological Settings,</w:t>
      </w:r>
      <w:r w:rsidRPr="00BD4DE0">
        <w:rPr>
          <w:bCs/>
          <w:szCs w:val="24"/>
        </w:rPr>
        <w:t> Energies, Vol. 13, Issue 12,3234,  </w:t>
      </w:r>
      <w:hyperlink r:id="rId38" w:history="1">
        <w:r w:rsidRPr="00BD4DE0">
          <w:rPr>
            <w:rStyle w:val="Hyperlink"/>
            <w:bCs/>
            <w:szCs w:val="24"/>
          </w:rPr>
          <w:t>https://doi.org/10.3390/en13123234</w:t>
        </w:r>
      </w:hyperlink>
      <w:r w:rsidRPr="00BD4DE0">
        <w:rPr>
          <w:bCs/>
          <w:szCs w:val="24"/>
          <w:lang w:val="sr-Cyrl-RS"/>
        </w:rPr>
        <w:t xml:space="preserve"> </w:t>
      </w:r>
      <w:r w:rsidRPr="00BD4DE0">
        <w:rPr>
          <w:bCs/>
          <w:szCs w:val="24"/>
        </w:rPr>
        <w:t> </w:t>
      </w:r>
    </w:p>
    <w:p w14:paraId="64433BD6" w14:textId="77777777" w:rsidR="003C7B9C" w:rsidRPr="00BD4DE0" w:rsidRDefault="003C7B9C" w:rsidP="00BD4DE0">
      <w:pPr>
        <w:pStyle w:val="ListParagraph"/>
        <w:tabs>
          <w:tab w:val="left" w:pos="1785"/>
        </w:tabs>
        <w:jc w:val="both"/>
        <w:rPr>
          <w:bCs/>
          <w:szCs w:val="24"/>
        </w:rPr>
      </w:pPr>
      <w:r w:rsidRPr="00BD4DE0">
        <w:rPr>
          <w:bCs/>
          <w:szCs w:val="24"/>
        </w:rPr>
        <w:t>Journal rank; 63/112</w:t>
      </w:r>
    </w:p>
    <w:p w14:paraId="025B6BAB" w14:textId="77777777" w:rsidR="003C7B9C" w:rsidRPr="00BD4DE0" w:rsidRDefault="003C7B9C" w:rsidP="00BD4DE0">
      <w:pPr>
        <w:pStyle w:val="ListParagraph"/>
        <w:tabs>
          <w:tab w:val="left" w:pos="0"/>
          <w:tab w:val="left" w:pos="284"/>
          <w:tab w:val="left" w:pos="426"/>
        </w:tabs>
        <w:suppressAutoHyphens w:val="0"/>
        <w:ind w:left="0"/>
        <w:jc w:val="both"/>
        <w:rPr>
          <w:b/>
          <w:iCs/>
          <w:szCs w:val="24"/>
        </w:rPr>
      </w:pPr>
    </w:p>
    <w:p w14:paraId="083E3A51" w14:textId="77777777" w:rsidR="003C7B9C" w:rsidRPr="00BD4DE0" w:rsidRDefault="003C7B9C" w:rsidP="00BD4DE0">
      <w:pPr>
        <w:pStyle w:val="ListParagraph"/>
        <w:tabs>
          <w:tab w:val="left" w:pos="0"/>
          <w:tab w:val="left" w:pos="284"/>
          <w:tab w:val="left" w:pos="426"/>
        </w:tabs>
        <w:suppressAutoHyphens w:val="0"/>
        <w:ind w:left="0"/>
        <w:jc w:val="both"/>
        <w:rPr>
          <w:b/>
          <w:iCs/>
          <w:szCs w:val="24"/>
        </w:rPr>
      </w:pPr>
      <w:r w:rsidRPr="00BD4DE0">
        <w:rPr>
          <w:b/>
          <w:iCs/>
          <w:szCs w:val="24"/>
        </w:rPr>
        <w:t>M23</w:t>
      </w:r>
    </w:p>
    <w:p w14:paraId="564FFBEF" w14:textId="77777777" w:rsidR="003C7B9C" w:rsidRPr="00BD4DE0" w:rsidRDefault="003C7B9C" w:rsidP="00BD4DE0">
      <w:pPr>
        <w:pStyle w:val="ListParagraph"/>
        <w:tabs>
          <w:tab w:val="left" w:pos="0"/>
          <w:tab w:val="left" w:pos="284"/>
          <w:tab w:val="left" w:pos="426"/>
        </w:tabs>
        <w:suppressAutoHyphens w:val="0"/>
        <w:ind w:left="0"/>
        <w:jc w:val="both"/>
        <w:rPr>
          <w:b/>
          <w:i/>
          <w:szCs w:val="24"/>
          <w:u w:val="single"/>
        </w:rPr>
      </w:pPr>
    </w:p>
    <w:p w14:paraId="5580EDBC" w14:textId="77777777" w:rsidR="003C7B9C" w:rsidRPr="00BD4DE0" w:rsidRDefault="003C7B9C" w:rsidP="00BD4DE0">
      <w:pPr>
        <w:pStyle w:val="ListParagraph"/>
        <w:numPr>
          <w:ilvl w:val="0"/>
          <w:numId w:val="36"/>
        </w:numPr>
        <w:tabs>
          <w:tab w:val="left" w:pos="1785"/>
        </w:tabs>
        <w:autoSpaceDN/>
        <w:contextualSpacing/>
        <w:jc w:val="both"/>
        <w:textAlignment w:val="auto"/>
        <w:rPr>
          <w:bCs/>
          <w:szCs w:val="24"/>
        </w:rPr>
      </w:pPr>
      <w:r w:rsidRPr="00BD4DE0">
        <w:rPr>
          <w:bCs/>
          <w:szCs w:val="24"/>
        </w:rPr>
        <w:t xml:space="preserve">Verbič M, Filipović S, </w:t>
      </w:r>
      <w:r w:rsidRPr="00BD4DE0">
        <w:rPr>
          <w:b/>
          <w:bCs/>
          <w:szCs w:val="24"/>
        </w:rPr>
        <w:t>Radovanović M</w:t>
      </w:r>
      <w:r w:rsidRPr="00BD4DE0">
        <w:rPr>
          <w:bCs/>
          <w:szCs w:val="24"/>
        </w:rPr>
        <w:t xml:space="preserve">. (2017) </w:t>
      </w:r>
      <w:r w:rsidRPr="00BD4DE0">
        <w:rPr>
          <w:bCs/>
          <w:i/>
          <w:szCs w:val="24"/>
        </w:rPr>
        <w:t>Electricity prices and energy intensity in Europe</w:t>
      </w:r>
      <w:r w:rsidRPr="00BD4DE0">
        <w:rPr>
          <w:bCs/>
          <w:szCs w:val="24"/>
        </w:rPr>
        <w:t>, Utilities Policy, Vol 47, pages: 58-68.</w:t>
      </w:r>
    </w:p>
    <w:bookmarkStart w:id="15" w:name="_Hlk12027823"/>
    <w:p w14:paraId="4E2D21C2" w14:textId="77777777" w:rsidR="003C7B9C" w:rsidRPr="00BD4DE0" w:rsidRDefault="003C7B9C" w:rsidP="00BD4DE0">
      <w:pPr>
        <w:pStyle w:val="ListParagraph"/>
        <w:tabs>
          <w:tab w:val="left" w:pos="1785"/>
        </w:tabs>
        <w:jc w:val="both"/>
        <w:rPr>
          <w:szCs w:val="24"/>
        </w:rPr>
      </w:pPr>
      <w:r w:rsidRPr="00BD4DE0">
        <w:rPr>
          <w:szCs w:val="24"/>
        </w:rPr>
        <w:fldChar w:fldCharType="begin"/>
      </w:r>
      <w:r w:rsidRPr="00BD4DE0">
        <w:rPr>
          <w:szCs w:val="24"/>
        </w:rPr>
        <w:instrText xml:space="preserve"> HYPERLINK "https://doi.org/10.1016/j.jup.2017.07.001" \h </w:instrText>
      </w:r>
      <w:r w:rsidRPr="00BD4DE0">
        <w:rPr>
          <w:szCs w:val="24"/>
        </w:rPr>
      </w:r>
      <w:r w:rsidRPr="00BD4DE0">
        <w:rPr>
          <w:szCs w:val="24"/>
        </w:rPr>
        <w:fldChar w:fldCharType="separate"/>
      </w:r>
      <w:r w:rsidRPr="00BD4DE0">
        <w:rPr>
          <w:rStyle w:val="InternetLink0"/>
          <w:bCs/>
          <w:szCs w:val="24"/>
        </w:rPr>
        <w:t>https://doi.org/10.1016/j.jup.2017.07.001</w:t>
      </w:r>
      <w:r w:rsidRPr="00BD4DE0">
        <w:rPr>
          <w:rStyle w:val="InternetLink0"/>
          <w:bCs/>
          <w:szCs w:val="24"/>
        </w:rPr>
        <w:fldChar w:fldCharType="end"/>
      </w:r>
      <w:r w:rsidRPr="00BD4DE0">
        <w:rPr>
          <w:bCs/>
          <w:szCs w:val="24"/>
        </w:rPr>
        <w:t xml:space="preserve"> </w:t>
      </w:r>
    </w:p>
    <w:p w14:paraId="3474EEDC" w14:textId="77777777" w:rsidR="003C7B9C" w:rsidRPr="00BD4DE0" w:rsidRDefault="003C7B9C" w:rsidP="00BD4DE0">
      <w:pPr>
        <w:pStyle w:val="ListParagraph"/>
        <w:numPr>
          <w:ilvl w:val="0"/>
          <w:numId w:val="36"/>
        </w:numPr>
        <w:tabs>
          <w:tab w:val="left" w:pos="1785"/>
        </w:tabs>
        <w:autoSpaceDN/>
        <w:contextualSpacing/>
        <w:jc w:val="both"/>
        <w:textAlignment w:val="auto"/>
        <w:rPr>
          <w:bCs/>
          <w:szCs w:val="24"/>
        </w:rPr>
      </w:pPr>
      <w:bookmarkStart w:id="16" w:name="_Hlk29117929"/>
      <w:bookmarkStart w:id="17" w:name="_Hlk52352565"/>
      <w:bookmarkEnd w:id="15"/>
      <w:r w:rsidRPr="00BD4DE0">
        <w:rPr>
          <w:b/>
          <w:bCs/>
          <w:szCs w:val="24"/>
        </w:rPr>
        <w:lastRenderedPageBreak/>
        <w:t>Radovanović M,</w:t>
      </w:r>
      <w:r w:rsidRPr="00BD4DE0">
        <w:rPr>
          <w:bCs/>
          <w:szCs w:val="24"/>
        </w:rPr>
        <w:t xml:space="preserve"> Filipović S, Pavlović D. (2017) </w:t>
      </w:r>
      <w:r w:rsidRPr="00BD4DE0">
        <w:rPr>
          <w:bCs/>
          <w:i/>
          <w:szCs w:val="24"/>
        </w:rPr>
        <w:t>Energy prices and energy security in the European Union – Panel Data Analysis</w:t>
      </w:r>
      <w:r w:rsidRPr="00BD4DE0">
        <w:rPr>
          <w:bCs/>
          <w:szCs w:val="24"/>
        </w:rPr>
        <w:t>, Energy Sources, Part</w:t>
      </w:r>
      <w:r w:rsidRPr="00BD4DE0">
        <w:rPr>
          <w:bCs/>
          <w:i/>
          <w:szCs w:val="24"/>
        </w:rPr>
        <w:t xml:space="preserve"> </w:t>
      </w:r>
      <w:r w:rsidRPr="00BD4DE0">
        <w:rPr>
          <w:bCs/>
          <w:szCs w:val="24"/>
        </w:rPr>
        <w:t>B: Economics, Planning, and Policy, Vol. 12, Issue 5, pages 415-419.</w:t>
      </w:r>
    </w:p>
    <w:bookmarkStart w:id="18" w:name="_Hlk12027850"/>
    <w:bookmarkEnd w:id="16"/>
    <w:p w14:paraId="04FC5088" w14:textId="77777777" w:rsidR="003C7B9C" w:rsidRPr="00BD4DE0" w:rsidRDefault="003C7B9C" w:rsidP="00BD4DE0">
      <w:pPr>
        <w:ind w:firstLine="720"/>
        <w:jc w:val="both"/>
        <w:rPr>
          <w:rFonts w:ascii="Times New Roman" w:hAnsi="Times New Roman" w:cs="Times New Roman"/>
          <w:szCs w:val="24"/>
        </w:rPr>
      </w:pPr>
      <w:r w:rsidRPr="00BD4DE0">
        <w:rPr>
          <w:rFonts w:ascii="Times New Roman" w:hAnsi="Times New Roman" w:cs="Times New Roman"/>
          <w:szCs w:val="24"/>
          <w:lang w:val="sr-Latn-RS"/>
        </w:rPr>
        <w:fldChar w:fldCharType="begin"/>
      </w:r>
      <w:r w:rsidRPr="00BD4DE0">
        <w:rPr>
          <w:rFonts w:ascii="Times New Roman" w:hAnsi="Times New Roman" w:cs="Times New Roman"/>
          <w:szCs w:val="24"/>
        </w:rPr>
        <w:instrText xml:space="preserve"> HYPERLINK "http://dx.doi.org/10.1080/15567249.2016.1157649" \h </w:instrText>
      </w:r>
      <w:r w:rsidRPr="00BD4DE0">
        <w:rPr>
          <w:rFonts w:ascii="Times New Roman" w:hAnsi="Times New Roman" w:cs="Times New Roman"/>
          <w:szCs w:val="24"/>
        </w:rPr>
      </w:r>
      <w:r w:rsidRPr="00BD4DE0">
        <w:rPr>
          <w:rFonts w:ascii="Times New Roman" w:hAnsi="Times New Roman" w:cs="Times New Roman"/>
          <w:szCs w:val="24"/>
          <w:lang w:val="sr-Latn-RS"/>
        </w:rPr>
        <w:fldChar w:fldCharType="separate"/>
      </w:r>
      <w:r w:rsidRPr="00BD4DE0">
        <w:rPr>
          <w:rStyle w:val="InternetLink0"/>
          <w:rFonts w:ascii="Times New Roman" w:hAnsi="Times New Roman" w:cs="Times New Roman"/>
          <w:bCs/>
          <w:szCs w:val="24"/>
          <w:lang w:eastAsia="ar-SA"/>
        </w:rPr>
        <w:t>http://dx.doi.org/10.1080/15567249.2016.1157649</w:t>
      </w:r>
      <w:r w:rsidRPr="00BD4DE0">
        <w:rPr>
          <w:rStyle w:val="InternetLink0"/>
          <w:rFonts w:ascii="Times New Roman" w:hAnsi="Times New Roman" w:cs="Times New Roman"/>
          <w:bCs/>
          <w:szCs w:val="24"/>
          <w:lang w:eastAsia="ar-SA"/>
        </w:rPr>
        <w:fldChar w:fldCharType="end"/>
      </w:r>
      <w:r w:rsidRPr="00BD4DE0">
        <w:rPr>
          <w:rFonts w:ascii="Times New Roman" w:hAnsi="Times New Roman" w:cs="Times New Roman"/>
          <w:bCs/>
          <w:szCs w:val="24"/>
          <w:lang w:eastAsia="ar-SA"/>
        </w:rPr>
        <w:t xml:space="preserve">  </w:t>
      </w:r>
    </w:p>
    <w:bookmarkEnd w:id="17"/>
    <w:bookmarkEnd w:id="18"/>
    <w:p w14:paraId="5EAA2661" w14:textId="77777777" w:rsidR="003C7B9C" w:rsidRPr="00BD4DE0" w:rsidRDefault="003C7B9C" w:rsidP="00BD4DE0">
      <w:pPr>
        <w:pStyle w:val="ListParagraph"/>
        <w:numPr>
          <w:ilvl w:val="0"/>
          <w:numId w:val="36"/>
        </w:numPr>
        <w:tabs>
          <w:tab w:val="left" w:pos="1550"/>
        </w:tabs>
        <w:autoSpaceDN/>
        <w:contextualSpacing/>
        <w:jc w:val="both"/>
        <w:textAlignment w:val="auto"/>
        <w:rPr>
          <w:szCs w:val="24"/>
        </w:rPr>
      </w:pPr>
      <w:r w:rsidRPr="00BD4DE0">
        <w:rPr>
          <w:b/>
          <w:bCs/>
          <w:szCs w:val="24"/>
        </w:rPr>
        <w:t>R</w:t>
      </w:r>
      <w:r w:rsidRPr="00BD4DE0">
        <w:rPr>
          <w:rStyle w:val="hps"/>
          <w:b/>
          <w:szCs w:val="24"/>
        </w:rPr>
        <w:t>adovanović M</w:t>
      </w:r>
      <w:r w:rsidRPr="00BD4DE0">
        <w:rPr>
          <w:rStyle w:val="hps"/>
          <w:szCs w:val="24"/>
        </w:rPr>
        <w:t xml:space="preserve">, Filipović S. (2015) </w:t>
      </w:r>
      <w:r w:rsidRPr="00BD4DE0">
        <w:rPr>
          <w:rStyle w:val="hps"/>
          <w:i/>
          <w:szCs w:val="24"/>
          <w:lang w:val="en-GB"/>
        </w:rPr>
        <w:t>New approach to Energy Intensity in the EU – Total energy and carbon cost approach</w:t>
      </w:r>
      <w:r w:rsidRPr="00BD4DE0">
        <w:rPr>
          <w:rStyle w:val="hps"/>
          <w:szCs w:val="24"/>
          <w:lang w:val="en-GB"/>
        </w:rPr>
        <w:t xml:space="preserve">, </w:t>
      </w:r>
      <w:r w:rsidRPr="00BD4DE0">
        <w:rPr>
          <w:szCs w:val="24"/>
        </w:rPr>
        <w:t xml:space="preserve">Energy and Environment, Vol. 26, Issue 4, pages 601-616. </w:t>
      </w:r>
      <w:bookmarkStart w:id="19" w:name="_Hlk12027612"/>
      <w:r w:rsidRPr="00BD4DE0">
        <w:rPr>
          <w:szCs w:val="24"/>
        </w:rPr>
        <w:fldChar w:fldCharType="begin"/>
      </w:r>
      <w:r w:rsidRPr="00BD4DE0">
        <w:rPr>
          <w:szCs w:val="24"/>
        </w:rPr>
        <w:instrText xml:space="preserve"> HYPERLINK "http://dx.doi.org/10.1260/0958-305X.26.4.601" \h </w:instrText>
      </w:r>
      <w:r w:rsidRPr="00BD4DE0">
        <w:rPr>
          <w:szCs w:val="24"/>
        </w:rPr>
      </w:r>
      <w:r w:rsidRPr="00BD4DE0">
        <w:rPr>
          <w:szCs w:val="24"/>
        </w:rPr>
        <w:fldChar w:fldCharType="separate"/>
      </w:r>
      <w:r w:rsidRPr="00BD4DE0">
        <w:rPr>
          <w:rStyle w:val="InternetLink0"/>
          <w:szCs w:val="24"/>
        </w:rPr>
        <w:t>http://dx.doi.org/10.1260/0958-305X.26.4.601</w:t>
      </w:r>
      <w:r w:rsidRPr="00BD4DE0">
        <w:rPr>
          <w:rStyle w:val="InternetLink0"/>
          <w:szCs w:val="24"/>
        </w:rPr>
        <w:fldChar w:fldCharType="end"/>
      </w:r>
      <w:r w:rsidRPr="00BD4DE0">
        <w:rPr>
          <w:szCs w:val="24"/>
        </w:rPr>
        <w:t xml:space="preserve"> </w:t>
      </w:r>
      <w:bookmarkEnd w:id="19"/>
    </w:p>
    <w:p w14:paraId="408F4130" w14:textId="77777777" w:rsidR="003C7B9C" w:rsidRPr="00BD4DE0" w:rsidRDefault="003C7B9C" w:rsidP="00BD4DE0">
      <w:pPr>
        <w:pStyle w:val="ListParagraph"/>
        <w:numPr>
          <w:ilvl w:val="0"/>
          <w:numId w:val="36"/>
        </w:numPr>
        <w:autoSpaceDN/>
        <w:contextualSpacing/>
        <w:jc w:val="both"/>
        <w:textAlignment w:val="auto"/>
        <w:rPr>
          <w:szCs w:val="24"/>
          <w:highlight w:val="white"/>
        </w:rPr>
      </w:pPr>
      <w:r w:rsidRPr="00BD4DE0">
        <w:rPr>
          <w:b/>
          <w:szCs w:val="24"/>
        </w:rPr>
        <w:t>Golušin M</w:t>
      </w:r>
      <w:r w:rsidRPr="00BD4DE0">
        <w:rPr>
          <w:szCs w:val="24"/>
        </w:rPr>
        <w:t xml:space="preserve">, Munitlak-Ivanović O, Filipović S, Andrejević A, Djuran J. (2013) </w:t>
      </w:r>
      <w:r w:rsidRPr="00BD4DE0">
        <w:rPr>
          <w:i/>
          <w:szCs w:val="24"/>
        </w:rPr>
        <w:t>Environmental taxation in the EU – analysis, challenges and the future</w:t>
      </w:r>
      <w:r w:rsidRPr="00BD4DE0">
        <w:rPr>
          <w:szCs w:val="24"/>
        </w:rPr>
        <w:t xml:space="preserve">, Journal of Renewable and Sustainable Energy, Vol. 5, pages </w:t>
      </w:r>
      <w:r w:rsidRPr="00BD4DE0">
        <w:rPr>
          <w:szCs w:val="24"/>
          <w:shd w:val="clear" w:color="auto" w:fill="FFFFFF"/>
        </w:rPr>
        <w:t>043129</w:t>
      </w:r>
      <w:r w:rsidRPr="00BD4DE0">
        <w:rPr>
          <w:rStyle w:val="apple-converted-space"/>
          <w:szCs w:val="24"/>
          <w:shd w:val="clear" w:color="auto" w:fill="FFFFFF"/>
        </w:rPr>
        <w:t>.</w:t>
      </w:r>
    </w:p>
    <w:p w14:paraId="52C4A222" w14:textId="77777777" w:rsidR="003C7B9C" w:rsidRPr="00BD4DE0" w:rsidRDefault="003C7B9C" w:rsidP="00BD4DE0">
      <w:pPr>
        <w:ind w:firstLine="720"/>
        <w:jc w:val="both"/>
        <w:rPr>
          <w:rFonts w:ascii="Times New Roman" w:hAnsi="Times New Roman" w:cs="Times New Roman"/>
          <w:szCs w:val="24"/>
        </w:rPr>
      </w:pPr>
      <w:hyperlink r:id="rId39">
        <w:r w:rsidRPr="00BD4DE0">
          <w:rPr>
            <w:rStyle w:val="InternetLink0"/>
            <w:rFonts w:ascii="Times New Roman" w:hAnsi="Times New Roman" w:cs="Times New Roman"/>
            <w:color w:val="1A6594"/>
            <w:szCs w:val="24"/>
            <w:highlight w:val="white"/>
          </w:rPr>
          <w:t>http://dx.doi.org/10.1063/1.4817963</w:t>
        </w:r>
      </w:hyperlink>
    </w:p>
    <w:p w14:paraId="5C8CC811" w14:textId="77777777" w:rsidR="003C7B9C" w:rsidRPr="00BD4DE0" w:rsidRDefault="003C7B9C" w:rsidP="00BD4DE0">
      <w:pPr>
        <w:pStyle w:val="ListParagraph"/>
        <w:numPr>
          <w:ilvl w:val="0"/>
          <w:numId w:val="36"/>
        </w:numPr>
        <w:autoSpaceDN/>
        <w:contextualSpacing/>
        <w:jc w:val="both"/>
        <w:textAlignment w:val="auto"/>
        <w:rPr>
          <w:szCs w:val="24"/>
          <w:lang w:val="sr-Latn-CS"/>
        </w:rPr>
      </w:pPr>
      <w:r w:rsidRPr="00BD4DE0">
        <w:rPr>
          <w:b/>
          <w:bCs/>
          <w:szCs w:val="24"/>
          <w:lang w:val="sr-Latn-RS"/>
        </w:rPr>
        <w:t>Golu</w:t>
      </w:r>
      <w:r w:rsidRPr="00BD4DE0">
        <w:rPr>
          <w:b/>
          <w:bCs/>
          <w:szCs w:val="24"/>
          <w:lang w:val="sr-Latn-CS"/>
        </w:rPr>
        <w:t>šin M</w:t>
      </w:r>
      <w:r w:rsidRPr="00BD4DE0">
        <w:rPr>
          <w:szCs w:val="24"/>
          <w:lang w:val="sr-Latn-CS"/>
        </w:rPr>
        <w:t xml:space="preserve">, Dodić S, Vučurović D, Ostojić A, Jovanović L. (2011) </w:t>
      </w:r>
      <w:r w:rsidRPr="00BD4DE0">
        <w:rPr>
          <w:i/>
          <w:iCs/>
          <w:szCs w:val="24"/>
          <w:lang w:val="sr-Latn-CS"/>
        </w:rPr>
        <w:t xml:space="preserve">Exploitation of biogas power plant – CDM Project, Vizelj, Serbia, </w:t>
      </w:r>
      <w:r w:rsidRPr="00BD4DE0">
        <w:rPr>
          <w:szCs w:val="24"/>
          <w:lang w:val="sr-Latn-CS"/>
        </w:rPr>
        <w:t xml:space="preserve">Journal of Renewable and Sustainable Energy, </w:t>
      </w:r>
      <w:r w:rsidRPr="00BD4DE0">
        <w:rPr>
          <w:szCs w:val="24"/>
        </w:rPr>
        <w:t>Vol 3, Issue 5</w:t>
      </w:r>
      <w:r w:rsidRPr="00BD4DE0">
        <w:rPr>
          <w:szCs w:val="24"/>
          <w:lang w:val="sr-Latn-CS"/>
        </w:rPr>
        <w:t>, pages 052701</w:t>
      </w:r>
    </w:p>
    <w:p w14:paraId="1FE42C96" w14:textId="77777777" w:rsidR="003C7B9C" w:rsidRPr="00BD4DE0" w:rsidRDefault="003C7B9C" w:rsidP="00BD4DE0">
      <w:pPr>
        <w:ind w:firstLine="720"/>
        <w:jc w:val="both"/>
        <w:rPr>
          <w:rFonts w:ascii="Times New Roman" w:hAnsi="Times New Roman" w:cs="Times New Roman"/>
          <w:szCs w:val="24"/>
        </w:rPr>
      </w:pPr>
      <w:hyperlink r:id="rId40">
        <w:r w:rsidRPr="00BD4DE0">
          <w:rPr>
            <w:rStyle w:val="InternetLink0"/>
            <w:rFonts w:ascii="Times New Roman" w:hAnsi="Times New Roman" w:cs="Times New Roman"/>
            <w:color w:val="4F81BD"/>
            <w:szCs w:val="24"/>
          </w:rPr>
          <w:t>http://dx.doi.org/10.1063/1.3631820</w:t>
        </w:r>
      </w:hyperlink>
    </w:p>
    <w:p w14:paraId="0F8F4C5D" w14:textId="77777777" w:rsidR="003C7B9C" w:rsidRPr="00BD4DE0" w:rsidRDefault="003C7B9C" w:rsidP="00BD4DE0">
      <w:pPr>
        <w:pStyle w:val="ListParagraph"/>
        <w:numPr>
          <w:ilvl w:val="0"/>
          <w:numId w:val="36"/>
        </w:numPr>
        <w:autoSpaceDN/>
        <w:contextualSpacing/>
        <w:jc w:val="both"/>
        <w:textAlignment w:val="auto"/>
        <w:rPr>
          <w:szCs w:val="24"/>
        </w:rPr>
      </w:pPr>
      <w:r w:rsidRPr="00BD4DE0">
        <w:rPr>
          <w:b/>
          <w:bCs/>
          <w:szCs w:val="24"/>
        </w:rPr>
        <w:t xml:space="preserve">Golušin M, </w:t>
      </w:r>
      <w:r w:rsidRPr="00BD4DE0">
        <w:rPr>
          <w:szCs w:val="24"/>
        </w:rPr>
        <w:t xml:space="preserve">Munitlak-Ivanović O, Domazet S, Dodić S, Vučurović D. (2011) </w:t>
      </w:r>
      <w:r w:rsidRPr="00BD4DE0">
        <w:rPr>
          <w:i/>
          <w:iCs/>
          <w:szCs w:val="24"/>
        </w:rPr>
        <w:t xml:space="preserve">Assessment of the effectiveness of policy implementation for sustainable energy development in South East Europe, </w:t>
      </w:r>
      <w:r w:rsidRPr="00BD4DE0">
        <w:rPr>
          <w:szCs w:val="24"/>
        </w:rPr>
        <w:t>Journal of Renewable and Sustainable Energy, Vol 3. pages 062702</w:t>
      </w:r>
    </w:p>
    <w:p w14:paraId="07714569" w14:textId="77777777" w:rsidR="003C7B9C" w:rsidRPr="00BD4DE0" w:rsidRDefault="003C7B9C" w:rsidP="00BD4DE0">
      <w:pPr>
        <w:ind w:firstLine="720"/>
        <w:jc w:val="both"/>
        <w:rPr>
          <w:rFonts w:ascii="Times New Roman" w:hAnsi="Times New Roman" w:cs="Times New Roman"/>
          <w:szCs w:val="24"/>
        </w:rPr>
      </w:pPr>
      <w:hyperlink r:id="rId41">
        <w:r w:rsidRPr="00BD4DE0">
          <w:rPr>
            <w:rStyle w:val="InternetLink0"/>
            <w:rFonts w:ascii="Times New Roman" w:hAnsi="Times New Roman" w:cs="Times New Roman"/>
            <w:szCs w:val="24"/>
          </w:rPr>
          <w:t>http://dx.doi.org/10.1063/1.3663953</w:t>
        </w:r>
      </w:hyperlink>
      <w:r w:rsidRPr="00BD4DE0">
        <w:rPr>
          <w:rFonts w:ascii="Times New Roman" w:hAnsi="Times New Roman" w:cs="Times New Roman"/>
          <w:szCs w:val="24"/>
        </w:rPr>
        <w:t xml:space="preserve"> </w:t>
      </w:r>
    </w:p>
    <w:p w14:paraId="1F807469" w14:textId="77777777" w:rsidR="003C7B9C" w:rsidRPr="00BD4DE0" w:rsidRDefault="003C7B9C" w:rsidP="00BD4DE0">
      <w:pPr>
        <w:tabs>
          <w:tab w:val="left" w:pos="1785"/>
        </w:tabs>
        <w:jc w:val="both"/>
        <w:rPr>
          <w:rFonts w:ascii="Times New Roman" w:hAnsi="Times New Roman" w:cs="Times New Roman"/>
          <w:b/>
          <w:bCs/>
          <w:szCs w:val="24"/>
        </w:rPr>
      </w:pPr>
    </w:p>
    <w:p w14:paraId="4B7A8089" w14:textId="77777777" w:rsidR="003C7B9C" w:rsidRPr="00BD4DE0" w:rsidRDefault="003C7B9C" w:rsidP="00BD4DE0">
      <w:pPr>
        <w:jc w:val="both"/>
        <w:rPr>
          <w:rFonts w:ascii="Times New Roman" w:hAnsi="Times New Roman" w:cs="Times New Roman"/>
          <w:b/>
          <w:bCs/>
          <w:szCs w:val="24"/>
        </w:rPr>
      </w:pPr>
      <w:r w:rsidRPr="00BD4DE0">
        <w:rPr>
          <w:rFonts w:ascii="Times New Roman" w:hAnsi="Times New Roman" w:cs="Times New Roman"/>
          <w:b/>
          <w:bCs/>
          <w:szCs w:val="24"/>
        </w:rPr>
        <w:t>M33</w:t>
      </w:r>
    </w:p>
    <w:p w14:paraId="35A1E5A8" w14:textId="77777777" w:rsidR="003C7B9C" w:rsidRPr="00BD4DE0" w:rsidRDefault="003C7B9C" w:rsidP="00BD4DE0">
      <w:pPr>
        <w:jc w:val="both"/>
        <w:rPr>
          <w:rFonts w:ascii="Times New Roman" w:hAnsi="Times New Roman" w:cs="Times New Roman"/>
          <w:b/>
          <w:bCs/>
          <w:i/>
          <w:iCs/>
          <w:szCs w:val="24"/>
        </w:rPr>
      </w:pPr>
    </w:p>
    <w:p w14:paraId="1EF4285D" w14:textId="77777777" w:rsidR="003C7B9C" w:rsidRPr="00BD4DE0" w:rsidRDefault="003C7B9C" w:rsidP="00BD4DE0">
      <w:pPr>
        <w:pStyle w:val="ListParagraph"/>
        <w:numPr>
          <w:ilvl w:val="0"/>
          <w:numId w:val="31"/>
        </w:numPr>
        <w:autoSpaceDN/>
        <w:contextualSpacing/>
        <w:jc w:val="both"/>
        <w:textAlignment w:val="auto"/>
        <w:rPr>
          <w:rFonts w:eastAsiaTheme="minorHAnsi"/>
          <w:szCs w:val="24"/>
        </w:rPr>
      </w:pPr>
      <w:r w:rsidRPr="00BD4DE0">
        <w:rPr>
          <w:rFonts w:eastAsiaTheme="minorHAnsi"/>
          <w:b/>
          <w:bCs/>
          <w:szCs w:val="24"/>
        </w:rPr>
        <w:t>Radovanović M</w:t>
      </w:r>
      <w:r w:rsidRPr="00BD4DE0">
        <w:rPr>
          <w:rFonts w:eastAsiaTheme="minorHAnsi"/>
          <w:szCs w:val="24"/>
        </w:rPr>
        <w:t xml:space="preserve">, Vasić B, Mirković-Isaeva, O. (2018) Income from natural resources and quality of life of citizens. XII International Forum for Clean Energy Technologies, 02-03.10.2018, Novi Sad, Serbia. </w:t>
      </w:r>
    </w:p>
    <w:p w14:paraId="17BD3275" w14:textId="77777777" w:rsidR="003C7B9C" w:rsidRPr="00BD4DE0" w:rsidRDefault="003C7B9C" w:rsidP="00BD4DE0">
      <w:pPr>
        <w:pStyle w:val="ListParagraph"/>
        <w:numPr>
          <w:ilvl w:val="0"/>
          <w:numId w:val="31"/>
        </w:numPr>
        <w:autoSpaceDN/>
        <w:contextualSpacing/>
        <w:jc w:val="both"/>
        <w:textAlignment w:val="auto"/>
        <w:rPr>
          <w:rFonts w:eastAsiaTheme="minorHAnsi"/>
          <w:szCs w:val="24"/>
        </w:rPr>
      </w:pPr>
      <w:r w:rsidRPr="00BD4DE0">
        <w:rPr>
          <w:rFonts w:eastAsiaTheme="minorHAnsi"/>
          <w:szCs w:val="24"/>
        </w:rPr>
        <w:t xml:space="preserve">Olga Mirković Isaeva, </w:t>
      </w:r>
      <w:r w:rsidRPr="00BD4DE0">
        <w:rPr>
          <w:rFonts w:eastAsiaTheme="minorHAnsi"/>
          <w:b/>
          <w:szCs w:val="24"/>
        </w:rPr>
        <w:t>Mirjana Radovanović</w:t>
      </w:r>
      <w:r w:rsidRPr="00BD4DE0">
        <w:rPr>
          <w:rFonts w:eastAsiaTheme="minorHAnsi"/>
          <w:szCs w:val="24"/>
        </w:rPr>
        <w:t>, Bojana Vasić (2018) Natural resources curse and geopolitical challenges of green economy. International scientific conference “Green economy and environmental protections”, Proceedings, pp. 116, 23 Prokletstvo 25 April, Belgrade, Serbia, ISBN: 978-86-89061-11-6.</w:t>
      </w:r>
    </w:p>
    <w:p w14:paraId="50456E99" w14:textId="77777777" w:rsidR="003C7B9C" w:rsidRPr="00BD4DE0" w:rsidRDefault="003C7B9C" w:rsidP="00BD4DE0">
      <w:pPr>
        <w:pStyle w:val="ListParagraph"/>
        <w:numPr>
          <w:ilvl w:val="0"/>
          <w:numId w:val="31"/>
        </w:numPr>
        <w:autoSpaceDN/>
        <w:contextualSpacing/>
        <w:jc w:val="both"/>
        <w:textAlignment w:val="auto"/>
        <w:rPr>
          <w:rFonts w:eastAsiaTheme="minorHAnsi"/>
          <w:szCs w:val="24"/>
        </w:rPr>
      </w:pPr>
      <w:r w:rsidRPr="00BD4DE0">
        <w:rPr>
          <w:rFonts w:eastAsiaTheme="minorHAnsi"/>
          <w:b/>
          <w:szCs w:val="24"/>
        </w:rPr>
        <w:t>Radovanović M,</w:t>
      </w:r>
      <w:r w:rsidRPr="00BD4DE0">
        <w:rPr>
          <w:rFonts w:eastAsiaTheme="minorHAnsi"/>
          <w:szCs w:val="24"/>
        </w:rPr>
        <w:t xml:space="preserve"> Filipović S, Vasić B: </w:t>
      </w:r>
      <w:r w:rsidRPr="00BD4DE0">
        <w:rPr>
          <w:rFonts w:eastAsiaTheme="minorHAnsi"/>
          <w:i/>
          <w:szCs w:val="24"/>
        </w:rPr>
        <w:t>Energy security in European Union: quantification and impact of selected variables</w:t>
      </w:r>
      <w:r w:rsidRPr="00BD4DE0">
        <w:rPr>
          <w:rFonts w:eastAsiaTheme="minorHAnsi"/>
          <w:szCs w:val="24"/>
        </w:rPr>
        <w:t xml:space="preserve">, XI International Forum for Clean Energy Technologies, 26-27.09.2017, Novi Sad, Serbia. </w:t>
      </w:r>
    </w:p>
    <w:p w14:paraId="12B0B0FC" w14:textId="77777777" w:rsidR="003C7B9C" w:rsidRPr="00BD4DE0" w:rsidRDefault="003C7B9C" w:rsidP="00BD4DE0">
      <w:pPr>
        <w:pStyle w:val="ListParagraph"/>
        <w:numPr>
          <w:ilvl w:val="0"/>
          <w:numId w:val="31"/>
        </w:numPr>
        <w:autoSpaceDN/>
        <w:contextualSpacing/>
        <w:jc w:val="both"/>
        <w:textAlignment w:val="auto"/>
        <w:rPr>
          <w:rFonts w:eastAsiaTheme="minorHAnsi"/>
          <w:szCs w:val="24"/>
        </w:rPr>
      </w:pPr>
      <w:r w:rsidRPr="00BD4DE0">
        <w:rPr>
          <w:rFonts w:eastAsiaTheme="minorHAnsi"/>
          <w:b/>
          <w:szCs w:val="24"/>
        </w:rPr>
        <w:t>Radovanović M</w:t>
      </w:r>
      <w:r w:rsidRPr="00BD4DE0">
        <w:rPr>
          <w:rFonts w:eastAsiaTheme="minorHAnsi"/>
          <w:szCs w:val="24"/>
        </w:rPr>
        <w:t xml:space="preserve">., Filipović S, Raspopović N. (2016) </w:t>
      </w:r>
      <w:r w:rsidRPr="00BD4DE0">
        <w:rPr>
          <w:rFonts w:eastAsiaTheme="minorHAnsi"/>
          <w:i/>
          <w:szCs w:val="24"/>
        </w:rPr>
        <w:t>Geo-economic approach to energy security measurement – Principal Component Analysis</w:t>
      </w:r>
      <w:r w:rsidRPr="00BD4DE0">
        <w:rPr>
          <w:rFonts w:eastAsiaTheme="minorHAnsi"/>
          <w:szCs w:val="24"/>
        </w:rPr>
        <w:t>, 2nd SEE SDEWES Conference on Sustainable Development of Energy, Water and Environment Systems, Piran, Slovenia, page 197, ISSN 1847-7186, COBIS ID512403810</w:t>
      </w:r>
    </w:p>
    <w:p w14:paraId="1F827F60" w14:textId="77777777" w:rsidR="003C7B9C" w:rsidRPr="00BD4DE0" w:rsidRDefault="003C7B9C" w:rsidP="00BD4DE0">
      <w:pPr>
        <w:pStyle w:val="ListParagraph"/>
        <w:numPr>
          <w:ilvl w:val="0"/>
          <w:numId w:val="31"/>
        </w:numPr>
        <w:autoSpaceDN/>
        <w:contextualSpacing/>
        <w:jc w:val="both"/>
        <w:textAlignment w:val="auto"/>
        <w:rPr>
          <w:rFonts w:eastAsiaTheme="minorHAnsi"/>
          <w:szCs w:val="24"/>
        </w:rPr>
      </w:pPr>
      <w:r w:rsidRPr="00BD4DE0">
        <w:rPr>
          <w:rFonts w:eastAsiaTheme="minorHAnsi"/>
          <w:b/>
          <w:szCs w:val="24"/>
        </w:rPr>
        <w:t>Radovanović M</w:t>
      </w:r>
      <w:r w:rsidRPr="00BD4DE0">
        <w:rPr>
          <w:rFonts w:eastAsiaTheme="minorHAnsi"/>
          <w:szCs w:val="24"/>
        </w:rPr>
        <w:t xml:space="preserve">, Filipović S, Raspopović N. (2016) </w:t>
      </w:r>
      <w:r w:rsidRPr="00BD4DE0">
        <w:rPr>
          <w:rFonts w:eastAsiaTheme="minorHAnsi"/>
          <w:i/>
          <w:szCs w:val="24"/>
        </w:rPr>
        <w:t>Macroeconomic and political aspects of energy security measurement – testing the new index on EU member states</w:t>
      </w:r>
      <w:r w:rsidRPr="00BD4DE0">
        <w:rPr>
          <w:rFonts w:eastAsiaTheme="minorHAnsi"/>
          <w:szCs w:val="24"/>
        </w:rPr>
        <w:t>, 2nd SEE SDEWES Conference on Sustainable Development of Energy, Water and Environment Systems, Piran, Slovenia, page 87,</w:t>
      </w:r>
      <w:r w:rsidRPr="00BD4DE0">
        <w:rPr>
          <w:szCs w:val="24"/>
        </w:rPr>
        <w:t xml:space="preserve"> </w:t>
      </w:r>
      <w:r w:rsidRPr="00BD4DE0">
        <w:rPr>
          <w:rFonts w:eastAsiaTheme="minorHAnsi"/>
          <w:szCs w:val="24"/>
        </w:rPr>
        <w:t>ISSN 1847-7186, COBIS ID 512403554</w:t>
      </w:r>
    </w:p>
    <w:p w14:paraId="6C5D58D1" w14:textId="77777777" w:rsidR="003C7B9C" w:rsidRPr="00BD4DE0" w:rsidRDefault="003C7B9C" w:rsidP="00BD4DE0">
      <w:pPr>
        <w:pStyle w:val="ListParagraph"/>
        <w:numPr>
          <w:ilvl w:val="0"/>
          <w:numId w:val="31"/>
        </w:numPr>
        <w:autoSpaceDN/>
        <w:contextualSpacing/>
        <w:jc w:val="both"/>
        <w:textAlignment w:val="auto"/>
        <w:rPr>
          <w:rFonts w:eastAsiaTheme="minorHAnsi"/>
          <w:szCs w:val="24"/>
        </w:rPr>
      </w:pPr>
      <w:r w:rsidRPr="00BD4DE0">
        <w:rPr>
          <w:rFonts w:eastAsiaTheme="minorHAnsi"/>
          <w:szCs w:val="24"/>
        </w:rPr>
        <w:t xml:space="preserve">Lior N, </w:t>
      </w:r>
      <w:r w:rsidRPr="00BD4DE0">
        <w:rPr>
          <w:rFonts w:eastAsiaTheme="minorHAnsi"/>
          <w:b/>
          <w:szCs w:val="24"/>
        </w:rPr>
        <w:t>Radovanović M</w:t>
      </w:r>
      <w:r w:rsidRPr="00BD4DE0">
        <w:rPr>
          <w:rFonts w:eastAsiaTheme="minorHAnsi"/>
          <w:szCs w:val="24"/>
        </w:rPr>
        <w:t xml:space="preserve">. (2016) </w:t>
      </w:r>
      <w:r w:rsidRPr="00BD4DE0">
        <w:rPr>
          <w:rFonts w:eastAsiaTheme="minorHAnsi"/>
          <w:i/>
          <w:szCs w:val="24"/>
        </w:rPr>
        <w:t>Sustainability and its measuremen</w:t>
      </w:r>
      <w:r w:rsidRPr="00BD4DE0">
        <w:rPr>
          <w:rFonts w:eastAsiaTheme="minorHAnsi"/>
          <w:szCs w:val="24"/>
        </w:rPr>
        <w:t xml:space="preserve">t, </w:t>
      </w:r>
      <w:r w:rsidRPr="00BD4DE0">
        <w:rPr>
          <w:bCs/>
          <w:szCs w:val="24"/>
        </w:rPr>
        <w:t>International Conference TECHNOLOGY + SOCIETY → FUTURE, Ed. M. Đurović, p. 183-192, 19–20 May 2016, Podgorica, Montenegro, Organized by the Montenegrin Academy of Sciences and Art, Podgorica, Montenegro, 2016. ISBN 978-86-7215-384-2</w:t>
      </w:r>
    </w:p>
    <w:p w14:paraId="54254D0D" w14:textId="77777777" w:rsidR="003C7B9C" w:rsidRPr="00BD4DE0" w:rsidRDefault="003C7B9C" w:rsidP="00BD4DE0">
      <w:pPr>
        <w:pStyle w:val="ListParagraph"/>
        <w:numPr>
          <w:ilvl w:val="0"/>
          <w:numId w:val="31"/>
        </w:numPr>
        <w:autoSpaceDN/>
        <w:contextualSpacing/>
        <w:jc w:val="both"/>
        <w:textAlignment w:val="auto"/>
        <w:rPr>
          <w:rFonts w:eastAsiaTheme="minorHAnsi"/>
          <w:b/>
          <w:szCs w:val="24"/>
        </w:rPr>
      </w:pPr>
      <w:r w:rsidRPr="00BD4DE0">
        <w:rPr>
          <w:b/>
          <w:szCs w:val="24"/>
        </w:rPr>
        <w:lastRenderedPageBreak/>
        <w:t>Radovanović M</w:t>
      </w:r>
      <w:r w:rsidRPr="00BD4DE0">
        <w:rPr>
          <w:szCs w:val="24"/>
        </w:rPr>
        <w:t>, Filipović S, Pavlović D. (2015)</w:t>
      </w:r>
      <w:r w:rsidRPr="00BD4DE0">
        <w:rPr>
          <w:b/>
          <w:szCs w:val="24"/>
        </w:rPr>
        <w:t xml:space="preserve"> </w:t>
      </w:r>
      <w:r w:rsidRPr="00BD4DE0">
        <w:rPr>
          <w:i/>
          <w:szCs w:val="24"/>
        </w:rPr>
        <w:t>Energy prices and long-term energy security – panel data analysis</w:t>
      </w:r>
      <w:r w:rsidRPr="00BD4DE0">
        <w:rPr>
          <w:szCs w:val="24"/>
        </w:rPr>
        <w:t xml:space="preserve">. Proceedings of the 10th Conference on Sustainable Development of Energy, Water and Environment Systems, SDEWES2015. 0859, 1-692 (2015). ISSN 1847-7186 COBIS ID 512344930 </w:t>
      </w:r>
    </w:p>
    <w:p w14:paraId="3609C0C4" w14:textId="77777777" w:rsidR="003C7B9C" w:rsidRPr="00BD4DE0" w:rsidRDefault="003C7B9C" w:rsidP="00BD4DE0">
      <w:pPr>
        <w:pStyle w:val="ListParagraph"/>
        <w:numPr>
          <w:ilvl w:val="0"/>
          <w:numId w:val="31"/>
        </w:numPr>
        <w:autoSpaceDN/>
        <w:contextualSpacing/>
        <w:jc w:val="both"/>
        <w:textAlignment w:val="auto"/>
        <w:rPr>
          <w:b/>
          <w:szCs w:val="24"/>
        </w:rPr>
      </w:pPr>
      <w:r w:rsidRPr="00BD4DE0">
        <w:rPr>
          <w:b/>
          <w:szCs w:val="24"/>
        </w:rPr>
        <w:t>Radovanović M</w:t>
      </w:r>
      <w:r w:rsidRPr="00BD4DE0">
        <w:rPr>
          <w:szCs w:val="24"/>
        </w:rPr>
        <w:t xml:space="preserve">, Filipović S, Pavlović D. (2015) </w:t>
      </w:r>
      <w:r w:rsidRPr="00BD4DE0">
        <w:rPr>
          <w:i/>
          <w:szCs w:val="24"/>
        </w:rPr>
        <w:t>Long-term energy security quantification – a sustainable approach</w:t>
      </w:r>
      <w:r w:rsidRPr="00BD4DE0">
        <w:rPr>
          <w:szCs w:val="24"/>
        </w:rPr>
        <w:t>. Proceedings of the 10th Conference on Sustainable Development of Energy, Water and Environment Systems, SDEWES2015, Dubrovnik, Croatia.</w:t>
      </w:r>
    </w:p>
    <w:p w14:paraId="2F34FF43" w14:textId="77777777" w:rsidR="003C7B9C" w:rsidRPr="00BD4DE0" w:rsidRDefault="003C7B9C" w:rsidP="00BD4DE0">
      <w:pPr>
        <w:pStyle w:val="ListParagraph"/>
        <w:numPr>
          <w:ilvl w:val="0"/>
          <w:numId w:val="31"/>
        </w:numPr>
        <w:autoSpaceDN/>
        <w:contextualSpacing/>
        <w:jc w:val="both"/>
        <w:textAlignment w:val="auto"/>
        <w:rPr>
          <w:rFonts w:eastAsiaTheme="minorHAnsi"/>
          <w:b/>
          <w:szCs w:val="24"/>
        </w:rPr>
      </w:pPr>
      <w:r w:rsidRPr="00BD4DE0">
        <w:rPr>
          <w:rFonts w:eastAsiaTheme="minorHAnsi"/>
          <w:b/>
          <w:szCs w:val="24"/>
        </w:rPr>
        <w:t xml:space="preserve">Golušin M, </w:t>
      </w:r>
      <w:r w:rsidRPr="00BD4DE0">
        <w:rPr>
          <w:rFonts w:eastAsiaTheme="minorHAnsi"/>
          <w:szCs w:val="24"/>
        </w:rPr>
        <w:t xml:space="preserve">Filipović S. (2014) </w:t>
      </w:r>
      <w:r w:rsidRPr="00BD4DE0">
        <w:rPr>
          <w:rFonts w:eastAsiaTheme="minorHAnsi"/>
          <w:i/>
          <w:szCs w:val="24"/>
        </w:rPr>
        <w:t>Sustainable development monitoring – quantification of energy related indicators of economic development</w:t>
      </w:r>
      <w:r w:rsidRPr="00BD4DE0">
        <w:rPr>
          <w:rFonts w:eastAsiaTheme="minorHAnsi"/>
          <w:szCs w:val="24"/>
        </w:rPr>
        <w:t>,</w:t>
      </w:r>
      <w:r w:rsidRPr="00BD4DE0">
        <w:rPr>
          <w:rFonts w:eastAsiaTheme="minorHAnsi"/>
          <w:b/>
          <w:szCs w:val="24"/>
        </w:rPr>
        <w:t xml:space="preserve"> </w:t>
      </w:r>
      <w:r w:rsidRPr="00BD4DE0">
        <w:rPr>
          <w:szCs w:val="24"/>
        </w:rPr>
        <w:t>Proceedings of the 1</w:t>
      </w:r>
      <w:r w:rsidRPr="00BD4DE0">
        <w:rPr>
          <w:szCs w:val="24"/>
          <w:vertAlign w:val="superscript"/>
        </w:rPr>
        <w:t>st</w:t>
      </w:r>
      <w:r w:rsidRPr="00BD4DE0">
        <w:rPr>
          <w:szCs w:val="24"/>
        </w:rPr>
        <w:t xml:space="preserve"> SEE Conference on Sustainable Development of Energy, Water and Environment Systems, SDEWES2014. ISSN 1847-7186.</w:t>
      </w:r>
    </w:p>
    <w:p w14:paraId="1F3181F0" w14:textId="77777777" w:rsidR="003C7B9C" w:rsidRPr="00BD4DE0" w:rsidRDefault="003C7B9C" w:rsidP="00BD4DE0">
      <w:pPr>
        <w:pStyle w:val="ListParagraph"/>
        <w:numPr>
          <w:ilvl w:val="0"/>
          <w:numId w:val="31"/>
        </w:numPr>
        <w:autoSpaceDN/>
        <w:contextualSpacing/>
        <w:jc w:val="both"/>
        <w:textAlignment w:val="auto"/>
        <w:rPr>
          <w:rFonts w:eastAsiaTheme="minorHAnsi"/>
          <w:b/>
          <w:szCs w:val="24"/>
        </w:rPr>
      </w:pPr>
      <w:r w:rsidRPr="00BD4DE0">
        <w:rPr>
          <w:rFonts w:eastAsiaTheme="minorHAnsi"/>
          <w:szCs w:val="24"/>
        </w:rPr>
        <w:t xml:space="preserve">Filipovič S, Verbič M, </w:t>
      </w:r>
      <w:r w:rsidRPr="00BD4DE0">
        <w:rPr>
          <w:rFonts w:eastAsiaTheme="minorHAnsi"/>
          <w:b/>
          <w:szCs w:val="24"/>
        </w:rPr>
        <w:t>Golušin M.</w:t>
      </w:r>
      <w:r w:rsidRPr="00BD4DE0">
        <w:rPr>
          <w:rFonts w:eastAsiaTheme="minorHAnsi"/>
          <w:szCs w:val="24"/>
        </w:rPr>
        <w:t xml:space="preserve"> (2014) </w:t>
      </w:r>
      <w:r w:rsidRPr="00BD4DE0">
        <w:rPr>
          <w:rFonts w:eastAsiaTheme="minorHAnsi"/>
          <w:i/>
          <w:szCs w:val="24"/>
        </w:rPr>
        <w:t>Electricity prices and energy efficiency – Panel Data Analysis</w:t>
      </w:r>
      <w:r w:rsidRPr="00BD4DE0">
        <w:rPr>
          <w:rFonts w:eastAsiaTheme="minorHAnsi"/>
          <w:szCs w:val="24"/>
        </w:rPr>
        <w:t>,</w:t>
      </w:r>
      <w:r w:rsidRPr="00BD4DE0">
        <w:rPr>
          <w:rFonts w:eastAsiaTheme="minorHAnsi"/>
          <w:b/>
          <w:szCs w:val="24"/>
        </w:rPr>
        <w:t xml:space="preserve"> </w:t>
      </w:r>
      <w:r w:rsidRPr="00BD4DE0">
        <w:rPr>
          <w:szCs w:val="24"/>
        </w:rPr>
        <w:t>Proceedings of the 1</w:t>
      </w:r>
      <w:r w:rsidRPr="00BD4DE0">
        <w:rPr>
          <w:szCs w:val="24"/>
          <w:vertAlign w:val="superscript"/>
        </w:rPr>
        <w:t>st</w:t>
      </w:r>
      <w:r w:rsidRPr="00BD4DE0">
        <w:rPr>
          <w:szCs w:val="24"/>
        </w:rPr>
        <w:t xml:space="preserve"> SEE Conference on Sustainable Development of Energy, Water and Environment Systems, SDEWES2014. ISSN 1847-7186.</w:t>
      </w:r>
    </w:p>
    <w:p w14:paraId="49528A6F" w14:textId="77777777" w:rsidR="003C7B9C" w:rsidRPr="00BD4DE0" w:rsidRDefault="003C7B9C" w:rsidP="00BD4DE0">
      <w:pPr>
        <w:pStyle w:val="ListParagraph"/>
        <w:numPr>
          <w:ilvl w:val="0"/>
          <w:numId w:val="31"/>
        </w:numPr>
        <w:autoSpaceDN/>
        <w:contextualSpacing/>
        <w:jc w:val="both"/>
        <w:textAlignment w:val="auto"/>
        <w:rPr>
          <w:b/>
          <w:szCs w:val="24"/>
        </w:rPr>
      </w:pPr>
      <w:r w:rsidRPr="00BD4DE0">
        <w:rPr>
          <w:szCs w:val="24"/>
        </w:rPr>
        <w:t>Filipović S, Ćojbašić-Rajić V,</w:t>
      </w:r>
      <w:r w:rsidRPr="00BD4DE0">
        <w:rPr>
          <w:b/>
          <w:szCs w:val="24"/>
        </w:rPr>
        <w:t xml:space="preserve"> Golušin M. </w:t>
      </w:r>
      <w:r w:rsidRPr="00BD4DE0">
        <w:rPr>
          <w:szCs w:val="24"/>
        </w:rPr>
        <w:t>(2013)</w:t>
      </w:r>
      <w:r w:rsidRPr="00BD4DE0">
        <w:rPr>
          <w:b/>
          <w:szCs w:val="24"/>
        </w:rPr>
        <w:t xml:space="preserve"> </w:t>
      </w:r>
      <w:r w:rsidRPr="00BD4DE0">
        <w:rPr>
          <w:i/>
          <w:iCs/>
          <w:szCs w:val="24"/>
          <w:shd w:val="clear" w:color="auto" w:fill="FFFFFF"/>
        </w:rPr>
        <w:t xml:space="preserve">Sustainability priorities – electricity prices between energy efficiency and social welfare, </w:t>
      </w:r>
      <w:r w:rsidRPr="00BD4DE0">
        <w:rPr>
          <w:szCs w:val="24"/>
        </w:rPr>
        <w:t>VIII Conference on Sustainable development, supported by UNESCO, Dubrovnik, Croatia, 2013.</w:t>
      </w:r>
    </w:p>
    <w:p w14:paraId="7E95B1A4" w14:textId="77777777" w:rsidR="003C7B9C" w:rsidRPr="00BD4DE0" w:rsidRDefault="003C7B9C" w:rsidP="00BD4DE0">
      <w:pPr>
        <w:pStyle w:val="ListParagraph"/>
        <w:numPr>
          <w:ilvl w:val="0"/>
          <w:numId w:val="31"/>
        </w:numPr>
        <w:autoSpaceDN/>
        <w:contextualSpacing/>
        <w:jc w:val="both"/>
        <w:textAlignment w:val="auto"/>
        <w:rPr>
          <w:b/>
          <w:szCs w:val="24"/>
        </w:rPr>
      </w:pPr>
      <w:r w:rsidRPr="00BD4DE0">
        <w:rPr>
          <w:b/>
          <w:iCs/>
          <w:szCs w:val="24"/>
          <w:shd w:val="clear" w:color="auto" w:fill="FFFFFF"/>
        </w:rPr>
        <w:t>Golušin M</w:t>
      </w:r>
      <w:r w:rsidRPr="00BD4DE0">
        <w:rPr>
          <w:iCs/>
          <w:szCs w:val="24"/>
          <w:shd w:val="clear" w:color="auto" w:fill="FFFFFF"/>
        </w:rPr>
        <w:t>, Filipović S, Munitlak-Ivanović O (2013).</w:t>
      </w:r>
      <w:r w:rsidRPr="00BD4DE0">
        <w:rPr>
          <w:i/>
          <w:iCs/>
          <w:szCs w:val="24"/>
          <w:shd w:val="clear" w:color="auto" w:fill="FFFFFF"/>
        </w:rPr>
        <w:t xml:space="preserve"> Environmental taxation in the EU – inconsistency and discrepancies between methodologies used for measurement of taxation financial effects, </w:t>
      </w:r>
      <w:r w:rsidRPr="00BD4DE0">
        <w:rPr>
          <w:szCs w:val="24"/>
        </w:rPr>
        <w:t>VIII Conference on Sustainable development, supported by UNESCO, Dubrovnik, Croatia, 2013.</w:t>
      </w:r>
    </w:p>
    <w:p w14:paraId="4FCCE14E" w14:textId="77777777" w:rsidR="003C7B9C" w:rsidRPr="00BD4DE0" w:rsidRDefault="003C7B9C" w:rsidP="00BD4DE0">
      <w:pPr>
        <w:pStyle w:val="ListParagraph"/>
        <w:numPr>
          <w:ilvl w:val="0"/>
          <w:numId w:val="31"/>
        </w:numPr>
        <w:autoSpaceDN/>
        <w:contextualSpacing/>
        <w:jc w:val="both"/>
        <w:textAlignment w:val="auto"/>
        <w:rPr>
          <w:b/>
          <w:szCs w:val="24"/>
        </w:rPr>
      </w:pPr>
      <w:r w:rsidRPr="00BD4DE0">
        <w:rPr>
          <w:szCs w:val="24"/>
        </w:rPr>
        <w:t xml:space="preserve">Andrejević A, </w:t>
      </w:r>
      <w:r w:rsidRPr="00BD4DE0">
        <w:rPr>
          <w:b/>
          <w:szCs w:val="24"/>
        </w:rPr>
        <w:t>Golušin</w:t>
      </w:r>
      <w:r w:rsidRPr="00BD4DE0">
        <w:rPr>
          <w:szCs w:val="24"/>
        </w:rPr>
        <w:t xml:space="preserve"> M, Munitlak-Ivanović O, Vučenov S., Djuran J. (2012) </w:t>
      </w:r>
      <w:r w:rsidRPr="00BD4DE0">
        <w:rPr>
          <w:i/>
          <w:color w:val="000000"/>
          <w:szCs w:val="24"/>
        </w:rPr>
        <w:t>Green GDP accounting – monitoring of energy security</w:t>
      </w:r>
      <w:r w:rsidRPr="00BD4DE0">
        <w:rPr>
          <w:color w:val="000000"/>
          <w:szCs w:val="24"/>
        </w:rPr>
        <w:t xml:space="preserve">, </w:t>
      </w:r>
      <w:r w:rsidRPr="00BD4DE0">
        <w:rPr>
          <w:szCs w:val="24"/>
        </w:rPr>
        <w:t>VII Conference on Sustainable development, supported by UNESCO, Ohrid, Macedonia.</w:t>
      </w:r>
    </w:p>
    <w:p w14:paraId="01EC4994" w14:textId="77777777" w:rsidR="003C7B9C" w:rsidRPr="00BD4DE0" w:rsidRDefault="003C7B9C" w:rsidP="00BD4DE0">
      <w:pPr>
        <w:pStyle w:val="ListParagraph"/>
        <w:numPr>
          <w:ilvl w:val="0"/>
          <w:numId w:val="31"/>
        </w:numPr>
        <w:autoSpaceDN/>
        <w:contextualSpacing/>
        <w:jc w:val="both"/>
        <w:textAlignment w:val="auto"/>
        <w:rPr>
          <w:b/>
          <w:szCs w:val="24"/>
        </w:rPr>
      </w:pPr>
      <w:r w:rsidRPr="00BD4DE0">
        <w:rPr>
          <w:szCs w:val="24"/>
        </w:rPr>
        <w:t xml:space="preserve">Munitlak-Ivanović O, </w:t>
      </w:r>
      <w:r w:rsidRPr="00BD4DE0">
        <w:rPr>
          <w:b/>
          <w:szCs w:val="24"/>
        </w:rPr>
        <w:t>Golušin M,</w:t>
      </w:r>
      <w:r w:rsidRPr="00BD4DE0">
        <w:rPr>
          <w:szCs w:val="24"/>
        </w:rPr>
        <w:t xml:space="preserve"> Andrejević A, Djuran J, Jovanović L. (2012) </w:t>
      </w:r>
      <w:r w:rsidRPr="00BD4DE0">
        <w:rPr>
          <w:i/>
          <w:szCs w:val="24"/>
        </w:rPr>
        <w:t>Environmental taxes as parameter of sustainable development metrix – parameter of strategic control of EU STRATEGY 2020 implementation</w:t>
      </w:r>
      <w:r w:rsidRPr="00BD4DE0">
        <w:rPr>
          <w:szCs w:val="24"/>
        </w:rPr>
        <w:t>, VII Conference on Sustainable development, supported by UNESCO, Ohrid, Macedonia, 2012.</w:t>
      </w:r>
    </w:p>
    <w:p w14:paraId="60CF56E1" w14:textId="77777777" w:rsidR="003C7B9C" w:rsidRPr="00BD4DE0" w:rsidRDefault="003C7B9C" w:rsidP="00BD4DE0">
      <w:pPr>
        <w:pStyle w:val="ListParagraph"/>
        <w:numPr>
          <w:ilvl w:val="0"/>
          <w:numId w:val="31"/>
        </w:numPr>
        <w:autoSpaceDN/>
        <w:contextualSpacing/>
        <w:jc w:val="both"/>
        <w:textAlignment w:val="auto"/>
        <w:rPr>
          <w:b/>
          <w:szCs w:val="24"/>
        </w:rPr>
      </w:pPr>
      <w:r w:rsidRPr="00BD4DE0">
        <w:rPr>
          <w:szCs w:val="24"/>
        </w:rPr>
        <w:t xml:space="preserve">Vučenov S, </w:t>
      </w:r>
      <w:r w:rsidRPr="00BD4DE0">
        <w:rPr>
          <w:b/>
          <w:szCs w:val="24"/>
        </w:rPr>
        <w:t>Golušin</w:t>
      </w:r>
      <w:r w:rsidRPr="00BD4DE0">
        <w:rPr>
          <w:szCs w:val="24"/>
        </w:rPr>
        <w:t xml:space="preserve"> M, Munitlak-Ivanović O, Jovanović L. (2012) </w:t>
      </w:r>
      <w:r w:rsidRPr="00BD4DE0">
        <w:rPr>
          <w:bCs/>
          <w:i/>
          <w:szCs w:val="24"/>
        </w:rPr>
        <w:t>Employment as indicator of EU STRATEGY 2020 implementation – measurement and analysis</w:t>
      </w:r>
      <w:r w:rsidRPr="00BD4DE0">
        <w:rPr>
          <w:bCs/>
          <w:szCs w:val="24"/>
        </w:rPr>
        <w:t>,</w:t>
      </w:r>
      <w:r w:rsidRPr="00BD4DE0">
        <w:rPr>
          <w:b/>
          <w:bCs/>
          <w:szCs w:val="24"/>
        </w:rPr>
        <w:t xml:space="preserve"> </w:t>
      </w:r>
      <w:r w:rsidRPr="00BD4DE0">
        <w:rPr>
          <w:szCs w:val="24"/>
        </w:rPr>
        <w:t>VII Conference on Sustainable development, supported by UNESCO, Ohrid, Macedonia, 2012.</w:t>
      </w:r>
    </w:p>
    <w:p w14:paraId="0D44E4B6" w14:textId="77777777" w:rsidR="003C7B9C" w:rsidRPr="00BD4DE0" w:rsidRDefault="003C7B9C" w:rsidP="00BD4DE0">
      <w:pPr>
        <w:pStyle w:val="ListParagraph"/>
        <w:numPr>
          <w:ilvl w:val="0"/>
          <w:numId w:val="31"/>
        </w:numPr>
        <w:autoSpaceDN/>
        <w:contextualSpacing/>
        <w:jc w:val="both"/>
        <w:textAlignment w:val="auto"/>
        <w:rPr>
          <w:b/>
          <w:szCs w:val="24"/>
        </w:rPr>
      </w:pPr>
      <w:r w:rsidRPr="00BD4DE0">
        <w:rPr>
          <w:szCs w:val="24"/>
        </w:rPr>
        <w:t xml:space="preserve">Andrejević A, Djuran J, </w:t>
      </w:r>
      <w:r w:rsidRPr="00BD4DE0">
        <w:rPr>
          <w:b/>
          <w:szCs w:val="24"/>
        </w:rPr>
        <w:t>Golušin M,</w:t>
      </w:r>
      <w:r w:rsidRPr="00BD4DE0">
        <w:rPr>
          <w:szCs w:val="24"/>
        </w:rPr>
        <w:t xml:space="preserve"> Munitlak-Ivanović O, Jovanović L. (2012) </w:t>
      </w:r>
      <w:r w:rsidRPr="00BD4DE0">
        <w:rPr>
          <w:i/>
          <w:szCs w:val="24"/>
        </w:rPr>
        <w:t>Strategy of sustainable energy development in EU – monitoring and measurement of economic development and renewable energy production limitations</w:t>
      </w:r>
      <w:r w:rsidRPr="00BD4DE0">
        <w:rPr>
          <w:szCs w:val="24"/>
        </w:rPr>
        <w:t>, VII Conference on Sustainable development, supported by UNESCO, Ohrid, Macedonia, 2012.</w:t>
      </w:r>
    </w:p>
    <w:p w14:paraId="2706E4F9" w14:textId="77777777" w:rsidR="003C7B9C" w:rsidRPr="00BD4DE0" w:rsidRDefault="003C7B9C" w:rsidP="00BD4DE0">
      <w:pPr>
        <w:pStyle w:val="ListParagraph"/>
        <w:numPr>
          <w:ilvl w:val="0"/>
          <w:numId w:val="31"/>
        </w:numPr>
        <w:autoSpaceDN/>
        <w:contextualSpacing/>
        <w:jc w:val="both"/>
        <w:textAlignment w:val="auto"/>
        <w:rPr>
          <w:b/>
          <w:szCs w:val="24"/>
        </w:rPr>
      </w:pPr>
      <w:r w:rsidRPr="00BD4DE0">
        <w:rPr>
          <w:b/>
          <w:szCs w:val="24"/>
        </w:rPr>
        <w:t>Golusin</w:t>
      </w:r>
      <w:r w:rsidRPr="00BD4DE0">
        <w:rPr>
          <w:szCs w:val="24"/>
        </w:rPr>
        <w:t xml:space="preserve"> M, Munitlak-Ivanovic O. (2011) </w:t>
      </w:r>
      <w:r w:rsidRPr="00BD4DE0">
        <w:rPr>
          <w:i/>
          <w:iCs/>
          <w:szCs w:val="24"/>
        </w:rPr>
        <w:t>Sustainable energy management – new approach</w:t>
      </w:r>
      <w:r w:rsidRPr="00BD4DE0">
        <w:rPr>
          <w:szCs w:val="24"/>
        </w:rPr>
        <w:t>, VI Conference on Sustainable development, supported by UNESCO, Dubrovnik, Croatia, 2011.</w:t>
      </w:r>
    </w:p>
    <w:p w14:paraId="4E8AE98A" w14:textId="77777777" w:rsidR="003C7B9C" w:rsidRPr="00BD4DE0" w:rsidRDefault="003C7B9C" w:rsidP="00BD4DE0">
      <w:pPr>
        <w:pStyle w:val="ListParagraph"/>
        <w:numPr>
          <w:ilvl w:val="0"/>
          <w:numId w:val="31"/>
        </w:numPr>
        <w:autoSpaceDN/>
        <w:contextualSpacing/>
        <w:jc w:val="both"/>
        <w:textAlignment w:val="auto"/>
        <w:rPr>
          <w:b/>
          <w:szCs w:val="24"/>
        </w:rPr>
      </w:pPr>
      <w:r w:rsidRPr="00BD4DE0">
        <w:rPr>
          <w:b/>
          <w:bCs/>
          <w:szCs w:val="24"/>
          <w:lang w:val="en-GB"/>
        </w:rPr>
        <w:t>Golusin M,</w:t>
      </w:r>
      <w:r w:rsidRPr="00BD4DE0">
        <w:rPr>
          <w:bCs/>
          <w:szCs w:val="24"/>
          <w:lang w:val="en-GB"/>
        </w:rPr>
        <w:t xml:space="preserve"> Munitlak-Ivanovic O, Dodic S, Vucurovic D. (2011) </w:t>
      </w:r>
      <w:r w:rsidRPr="00BD4DE0">
        <w:rPr>
          <w:bCs/>
          <w:i/>
          <w:iCs/>
          <w:szCs w:val="24"/>
          <w:lang w:val="en-GB"/>
        </w:rPr>
        <w:t>The implementation of sustainable energy management in companies – gap analysis technique,</w:t>
      </w:r>
      <w:r w:rsidRPr="00BD4DE0">
        <w:rPr>
          <w:b/>
          <w:szCs w:val="24"/>
          <w:lang w:val="en-GB"/>
        </w:rPr>
        <w:t xml:space="preserve"> </w:t>
      </w:r>
      <w:r w:rsidRPr="00BD4DE0">
        <w:rPr>
          <w:szCs w:val="24"/>
        </w:rPr>
        <w:t>VI Conference on Sustainable development, supported by UNESCO, Dubrovnik, Croatia, 2011.</w:t>
      </w:r>
    </w:p>
    <w:p w14:paraId="68D9405A" w14:textId="77777777" w:rsidR="009739C4" w:rsidRPr="00BD4DE0" w:rsidRDefault="009739C4" w:rsidP="00BD4DE0">
      <w:pPr>
        <w:pStyle w:val="ListParagraph"/>
        <w:tabs>
          <w:tab w:val="left" w:pos="0"/>
          <w:tab w:val="left" w:pos="284"/>
          <w:tab w:val="left" w:pos="426"/>
        </w:tabs>
        <w:suppressAutoHyphens w:val="0"/>
        <w:ind w:left="0"/>
        <w:jc w:val="both"/>
        <w:rPr>
          <w:b/>
          <w:i/>
          <w:szCs w:val="24"/>
          <w:u w:val="single"/>
        </w:rPr>
      </w:pPr>
    </w:p>
    <w:sectPr w:rsidR="009739C4" w:rsidRPr="00BD4DE0" w:rsidSect="003C7B9C">
      <w:pgSz w:w="12240" w:h="15840"/>
      <w:pgMar w:top="1440" w:right="1440" w:bottom="144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F8D0CC" w14:textId="77777777" w:rsidR="00986CAA" w:rsidRDefault="00986CAA">
      <w:r>
        <w:separator/>
      </w:r>
    </w:p>
  </w:endnote>
  <w:endnote w:type="continuationSeparator" w:id="0">
    <w:p w14:paraId="40209252" w14:textId="77777777" w:rsidR="00986CAA" w:rsidRDefault="00986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08B325" w14:textId="77777777" w:rsidR="00986CAA" w:rsidRDefault="00986CAA">
      <w:r>
        <w:rPr>
          <w:color w:val="000000"/>
        </w:rPr>
        <w:separator/>
      </w:r>
    </w:p>
  </w:footnote>
  <w:footnote w:type="continuationSeparator" w:id="0">
    <w:p w14:paraId="32D5D1CF" w14:textId="77777777" w:rsidR="00986CAA" w:rsidRDefault="00986C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C1CEE"/>
    <w:multiLevelType w:val="multilevel"/>
    <w:tmpl w:val="115E9F12"/>
    <w:styleLink w:val="WWNum23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214A3E"/>
    <w:multiLevelType w:val="multilevel"/>
    <w:tmpl w:val="F28CAE48"/>
    <w:styleLink w:val="WWNum13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3C2B45"/>
    <w:multiLevelType w:val="multilevel"/>
    <w:tmpl w:val="67221BC4"/>
    <w:styleLink w:val="WWNum12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BB0A0B"/>
    <w:multiLevelType w:val="multilevel"/>
    <w:tmpl w:val="0D84C05A"/>
    <w:styleLink w:val="WWNum14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476D6C"/>
    <w:multiLevelType w:val="multilevel"/>
    <w:tmpl w:val="3E20C742"/>
    <w:styleLink w:val="WWNum2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right"/>
      <w:pPr>
        <w:ind w:left="1440" w:hanging="180"/>
      </w:pPr>
    </w:lvl>
    <w:lvl w:ilvl="3">
      <w:start w:val="1"/>
      <w:numFmt w:val="decimal"/>
      <w:lvlText w:val="%4."/>
      <w:lvlJc w:val="left"/>
      <w:pPr>
        <w:ind w:left="2160" w:hanging="360"/>
      </w:pPr>
    </w:lvl>
    <w:lvl w:ilvl="4">
      <w:start w:val="1"/>
      <w:numFmt w:val="lowerLetter"/>
      <w:lvlText w:val="%5."/>
      <w:lvlJc w:val="left"/>
      <w:pPr>
        <w:ind w:left="2880" w:hanging="360"/>
      </w:pPr>
    </w:lvl>
    <w:lvl w:ilvl="5">
      <w:start w:val="1"/>
      <w:numFmt w:val="lowerRoman"/>
      <w:lvlText w:val="%6."/>
      <w:lvlJc w:val="right"/>
      <w:pPr>
        <w:ind w:left="3600" w:hanging="180"/>
      </w:pPr>
    </w:lvl>
    <w:lvl w:ilvl="6">
      <w:start w:val="1"/>
      <w:numFmt w:val="decimal"/>
      <w:lvlText w:val="%7."/>
      <w:lvlJc w:val="left"/>
      <w:pPr>
        <w:ind w:left="4320" w:hanging="360"/>
      </w:pPr>
    </w:lvl>
    <w:lvl w:ilvl="7">
      <w:start w:val="1"/>
      <w:numFmt w:val="lowerLetter"/>
      <w:lvlText w:val="%8."/>
      <w:lvlJc w:val="left"/>
      <w:pPr>
        <w:ind w:left="5040" w:hanging="360"/>
      </w:pPr>
    </w:lvl>
    <w:lvl w:ilvl="8">
      <w:start w:val="1"/>
      <w:numFmt w:val="lowerRoman"/>
      <w:lvlText w:val="%9."/>
      <w:lvlJc w:val="right"/>
      <w:pPr>
        <w:ind w:left="5760" w:hanging="180"/>
      </w:pPr>
    </w:lvl>
  </w:abstractNum>
  <w:abstractNum w:abstractNumId="5" w15:restartNumberingAfterBreak="0">
    <w:nsid w:val="140364B4"/>
    <w:multiLevelType w:val="multilevel"/>
    <w:tmpl w:val="52EC8E60"/>
    <w:styleLink w:val="WWNum10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3B3D25"/>
    <w:multiLevelType w:val="multilevel"/>
    <w:tmpl w:val="E2C4FE3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/>
        <w:i w:val="0"/>
        <w:iCs w:val="0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9302E3"/>
    <w:multiLevelType w:val="multilevel"/>
    <w:tmpl w:val="E7543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A701D5"/>
    <w:multiLevelType w:val="multilevel"/>
    <w:tmpl w:val="E7543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BB4164"/>
    <w:multiLevelType w:val="multilevel"/>
    <w:tmpl w:val="C8866B68"/>
    <w:styleLink w:val="WWNum16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230300"/>
    <w:multiLevelType w:val="multilevel"/>
    <w:tmpl w:val="91EA5B0C"/>
    <w:styleLink w:val="WWNum1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9A73EB"/>
    <w:multiLevelType w:val="multilevel"/>
    <w:tmpl w:val="C0E2134C"/>
    <w:styleLink w:val="WWNum6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C22740"/>
    <w:multiLevelType w:val="multilevel"/>
    <w:tmpl w:val="FB5CBD42"/>
    <w:styleLink w:val="WWNum15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1366C0"/>
    <w:multiLevelType w:val="multilevel"/>
    <w:tmpl w:val="227C3E14"/>
    <w:lvl w:ilvl="0">
      <w:start w:val="1"/>
      <w:numFmt w:val="decimal"/>
      <w:lvlText w:val="%1."/>
      <w:lvlJc w:val="left"/>
      <w:pPr>
        <w:ind w:left="108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A02189F"/>
    <w:multiLevelType w:val="multilevel"/>
    <w:tmpl w:val="6FCEABD2"/>
    <w:styleLink w:val="WWNum20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2A5C66"/>
    <w:multiLevelType w:val="multilevel"/>
    <w:tmpl w:val="E40428E2"/>
    <w:styleLink w:val="NoList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16" w15:restartNumberingAfterBreak="0">
    <w:nsid w:val="40F65CC9"/>
    <w:multiLevelType w:val="multilevel"/>
    <w:tmpl w:val="B9081C58"/>
    <w:styleLink w:val="WWNum3"/>
    <w:lvl w:ilvl="0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885150"/>
    <w:multiLevelType w:val="multilevel"/>
    <w:tmpl w:val="41EA3B72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D825BC"/>
    <w:multiLevelType w:val="multilevel"/>
    <w:tmpl w:val="8CF4092C"/>
    <w:styleLink w:val="WWNum9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02558A"/>
    <w:multiLevelType w:val="multilevel"/>
    <w:tmpl w:val="C868DBD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F51D1C"/>
    <w:multiLevelType w:val="multilevel"/>
    <w:tmpl w:val="FB24168A"/>
    <w:styleLink w:val="WWNum21"/>
    <w:lvl w:ilvl="0">
      <w:start w:val="1"/>
      <w:numFmt w:val="decimal"/>
      <w:lvlText w:val="%1."/>
      <w:lvlJc w:val="left"/>
      <w:pPr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568D2B87"/>
    <w:multiLevelType w:val="multilevel"/>
    <w:tmpl w:val="42423532"/>
    <w:styleLink w:val="WWNum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871F87"/>
    <w:multiLevelType w:val="multilevel"/>
    <w:tmpl w:val="2BFA8708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605A98"/>
    <w:multiLevelType w:val="multilevel"/>
    <w:tmpl w:val="99A49C02"/>
    <w:styleLink w:val="WWNum5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094F16"/>
    <w:multiLevelType w:val="multilevel"/>
    <w:tmpl w:val="E7543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F248A8"/>
    <w:multiLevelType w:val="multilevel"/>
    <w:tmpl w:val="86DC1C86"/>
    <w:lvl w:ilvl="0">
      <w:start w:val="1"/>
      <w:numFmt w:val="decimal"/>
      <w:lvlText w:val="%1."/>
      <w:lvlJc w:val="left"/>
      <w:pPr>
        <w:ind w:left="108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6AE5E56"/>
    <w:multiLevelType w:val="multilevel"/>
    <w:tmpl w:val="A7C4B29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84029"/>
    <w:multiLevelType w:val="multilevel"/>
    <w:tmpl w:val="44003AE4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0C51F9"/>
    <w:multiLevelType w:val="multilevel"/>
    <w:tmpl w:val="24E829B6"/>
    <w:styleLink w:val="WWNum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/>
        <w:b w:val="0"/>
        <w:i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92D3D50"/>
    <w:multiLevelType w:val="multilevel"/>
    <w:tmpl w:val="E6EC9BF8"/>
    <w:styleLink w:val="WWNum11"/>
    <w:lvl w:ilvl="0">
      <w:numFmt w:val="bullet"/>
      <w:lvlText w:val=""/>
      <w:lvlJc w:val="left"/>
      <w:pPr>
        <w:ind w:left="720" w:hanging="360"/>
      </w:pPr>
      <w:rPr>
        <w:sz w:val="20"/>
      </w:rPr>
    </w:lvl>
    <w:lvl w:ilvl="1">
      <w:numFmt w:val="bullet"/>
      <w:lvlText w:val="o"/>
      <w:lvlJc w:val="left"/>
      <w:pPr>
        <w:ind w:left="1440" w:hanging="360"/>
      </w:pPr>
      <w:rPr>
        <w:sz w:val="20"/>
      </w:rPr>
    </w:lvl>
    <w:lvl w:ilvl="2">
      <w:numFmt w:val="bullet"/>
      <w:lvlText w:val=""/>
      <w:lvlJc w:val="left"/>
      <w:pPr>
        <w:ind w:left="2160" w:hanging="360"/>
      </w:pPr>
      <w:rPr>
        <w:sz w:val="20"/>
      </w:rPr>
    </w:lvl>
    <w:lvl w:ilvl="3">
      <w:numFmt w:val="bullet"/>
      <w:lvlText w:val=""/>
      <w:lvlJc w:val="left"/>
      <w:pPr>
        <w:ind w:left="2880" w:hanging="360"/>
      </w:pPr>
      <w:rPr>
        <w:sz w:val="20"/>
      </w:rPr>
    </w:lvl>
    <w:lvl w:ilvl="4">
      <w:numFmt w:val="bullet"/>
      <w:lvlText w:val=""/>
      <w:lvlJc w:val="left"/>
      <w:pPr>
        <w:ind w:left="3600" w:hanging="360"/>
      </w:pPr>
      <w:rPr>
        <w:sz w:val="20"/>
      </w:rPr>
    </w:lvl>
    <w:lvl w:ilvl="5">
      <w:numFmt w:val="bullet"/>
      <w:lvlText w:val=""/>
      <w:lvlJc w:val="left"/>
      <w:pPr>
        <w:ind w:left="4320" w:hanging="360"/>
      </w:pPr>
      <w:rPr>
        <w:sz w:val="20"/>
      </w:rPr>
    </w:lvl>
    <w:lvl w:ilvl="6">
      <w:numFmt w:val="bullet"/>
      <w:lvlText w:val=""/>
      <w:lvlJc w:val="left"/>
      <w:pPr>
        <w:ind w:left="5040" w:hanging="360"/>
      </w:pPr>
      <w:rPr>
        <w:sz w:val="20"/>
      </w:rPr>
    </w:lvl>
    <w:lvl w:ilvl="7">
      <w:numFmt w:val="bullet"/>
      <w:lvlText w:val=""/>
      <w:lvlJc w:val="left"/>
      <w:pPr>
        <w:ind w:left="5760" w:hanging="360"/>
      </w:pPr>
      <w:rPr>
        <w:sz w:val="20"/>
      </w:rPr>
    </w:lvl>
    <w:lvl w:ilvl="8">
      <w:numFmt w:val="bullet"/>
      <w:lvlText w:val=""/>
      <w:lvlJc w:val="left"/>
      <w:pPr>
        <w:ind w:left="6480" w:hanging="360"/>
      </w:pPr>
      <w:rPr>
        <w:sz w:val="20"/>
      </w:rPr>
    </w:lvl>
  </w:abstractNum>
  <w:abstractNum w:abstractNumId="30" w15:restartNumberingAfterBreak="0">
    <w:nsid w:val="6BE337F7"/>
    <w:multiLevelType w:val="multilevel"/>
    <w:tmpl w:val="E7543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FE0809"/>
    <w:multiLevelType w:val="multilevel"/>
    <w:tmpl w:val="E8BE5100"/>
    <w:styleLink w:val="WWNum17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45B234C"/>
    <w:multiLevelType w:val="multilevel"/>
    <w:tmpl w:val="C7FEF0CA"/>
    <w:styleLink w:val="WWNum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6E2C61"/>
    <w:multiLevelType w:val="multilevel"/>
    <w:tmpl w:val="90AEFD4E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A002106"/>
    <w:multiLevelType w:val="multilevel"/>
    <w:tmpl w:val="1DACABD0"/>
    <w:styleLink w:val="WWNum8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FBC139B"/>
    <w:multiLevelType w:val="multilevel"/>
    <w:tmpl w:val="C4A8DF6A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680496741">
    <w:abstractNumId w:val="15"/>
  </w:num>
  <w:num w:numId="2" w16cid:durableId="1191064612">
    <w:abstractNumId w:val="28"/>
  </w:num>
  <w:num w:numId="3" w16cid:durableId="1830973485">
    <w:abstractNumId w:val="4"/>
  </w:num>
  <w:num w:numId="4" w16cid:durableId="1851524397">
    <w:abstractNumId w:val="16"/>
  </w:num>
  <w:num w:numId="5" w16cid:durableId="62920850">
    <w:abstractNumId w:val="17"/>
  </w:num>
  <w:num w:numId="6" w16cid:durableId="1357463403">
    <w:abstractNumId w:val="23"/>
  </w:num>
  <w:num w:numId="7" w16cid:durableId="1480540983">
    <w:abstractNumId w:val="11"/>
  </w:num>
  <w:num w:numId="8" w16cid:durableId="1571111706">
    <w:abstractNumId w:val="27"/>
  </w:num>
  <w:num w:numId="9" w16cid:durableId="1752895617">
    <w:abstractNumId w:val="34"/>
  </w:num>
  <w:num w:numId="10" w16cid:durableId="246110744">
    <w:abstractNumId w:val="18"/>
  </w:num>
  <w:num w:numId="11" w16cid:durableId="1249196234">
    <w:abstractNumId w:val="5"/>
  </w:num>
  <w:num w:numId="12" w16cid:durableId="1959799650">
    <w:abstractNumId w:val="29"/>
  </w:num>
  <w:num w:numId="13" w16cid:durableId="1548302212">
    <w:abstractNumId w:val="2"/>
  </w:num>
  <w:num w:numId="14" w16cid:durableId="1073162152">
    <w:abstractNumId w:val="1"/>
  </w:num>
  <w:num w:numId="15" w16cid:durableId="1512839170">
    <w:abstractNumId w:val="3"/>
  </w:num>
  <w:num w:numId="16" w16cid:durableId="374933855">
    <w:abstractNumId w:val="12"/>
  </w:num>
  <w:num w:numId="17" w16cid:durableId="1850875391">
    <w:abstractNumId w:val="9"/>
  </w:num>
  <w:num w:numId="18" w16cid:durableId="1778673636">
    <w:abstractNumId w:val="31"/>
  </w:num>
  <w:num w:numId="19" w16cid:durableId="375007435">
    <w:abstractNumId w:val="21"/>
  </w:num>
  <w:num w:numId="20" w16cid:durableId="989939581">
    <w:abstractNumId w:val="10"/>
  </w:num>
  <w:num w:numId="21" w16cid:durableId="206920228">
    <w:abstractNumId w:val="14"/>
  </w:num>
  <w:num w:numId="22" w16cid:durableId="2103184914">
    <w:abstractNumId w:val="20"/>
  </w:num>
  <w:num w:numId="23" w16cid:durableId="391466499">
    <w:abstractNumId w:val="32"/>
  </w:num>
  <w:num w:numId="24" w16cid:durableId="1943566554">
    <w:abstractNumId w:val="0"/>
  </w:num>
  <w:num w:numId="25" w16cid:durableId="1397892800">
    <w:abstractNumId w:val="35"/>
  </w:num>
  <w:num w:numId="26" w16cid:durableId="1281571256">
    <w:abstractNumId w:val="19"/>
  </w:num>
  <w:num w:numId="27" w16cid:durableId="869031032">
    <w:abstractNumId w:val="33"/>
  </w:num>
  <w:num w:numId="28" w16cid:durableId="2103452119">
    <w:abstractNumId w:val="13"/>
  </w:num>
  <w:num w:numId="29" w16cid:durableId="271595232">
    <w:abstractNumId w:val="26"/>
  </w:num>
  <w:num w:numId="30" w16cid:durableId="932855083">
    <w:abstractNumId w:val="22"/>
  </w:num>
  <w:num w:numId="31" w16cid:durableId="1376660039">
    <w:abstractNumId w:val="25"/>
  </w:num>
  <w:num w:numId="32" w16cid:durableId="767040969">
    <w:abstractNumId w:val="7"/>
  </w:num>
  <w:num w:numId="33" w16cid:durableId="1590968526">
    <w:abstractNumId w:val="6"/>
  </w:num>
  <w:num w:numId="34" w16cid:durableId="1725637327">
    <w:abstractNumId w:val="8"/>
  </w:num>
  <w:num w:numId="35" w16cid:durableId="560675122">
    <w:abstractNumId w:val="24"/>
  </w:num>
  <w:num w:numId="36" w16cid:durableId="1692336320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39C4"/>
    <w:rsid w:val="00023366"/>
    <w:rsid w:val="00047087"/>
    <w:rsid w:val="00065158"/>
    <w:rsid w:val="00090C78"/>
    <w:rsid w:val="00277E42"/>
    <w:rsid w:val="003C7B9C"/>
    <w:rsid w:val="005C2A46"/>
    <w:rsid w:val="009739C4"/>
    <w:rsid w:val="00986CAA"/>
    <w:rsid w:val="00B64929"/>
    <w:rsid w:val="00BD4DE0"/>
    <w:rsid w:val="00E21059"/>
    <w:rsid w:val="00EB1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1929D4"/>
  <w15:docId w15:val="{89ACEBEC-9572-431C-9D8C-905E4A32E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ahoma"/>
        <w:sz w:val="24"/>
        <w:szCs w:val="22"/>
        <w:lang w:val="en-US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Heading2">
    <w:name w:val="heading 2"/>
    <w:basedOn w:val="Standard"/>
    <w:next w:val="Standard"/>
    <w:uiPriority w:val="9"/>
    <w:unhideWhenUsed/>
    <w:qFormat/>
    <w:pPr>
      <w:keepNext/>
      <w:spacing w:before="240" w:after="60"/>
      <w:jc w:val="both"/>
      <w:outlineLvl w:val="1"/>
    </w:pPr>
    <w:rPr>
      <w:rFonts w:ascii="Arial" w:eastAsia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Times New Roman" w:eastAsia="Times New Roman" w:hAnsi="Times New Roman" w:cs="Times New Roman"/>
      <w:szCs w:val="24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">
    <w:name w:val="List"/>
    <w:basedOn w:val="Textbody"/>
    <w:rPr>
      <w:rFonts w:cs="Arial"/>
    </w:rPr>
  </w:style>
  <w:style w:type="paragraph" w:styleId="Caption">
    <w:name w:val="caption"/>
    <w:basedOn w:val="Standar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HTMLPreformatted">
    <w:name w:val="HTML Preformatted"/>
    <w:basedOn w:val="Standar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ourier New" w:hAnsi="Courier New" w:cs="Courier New"/>
      <w:sz w:val="20"/>
      <w:szCs w:val="20"/>
      <w:lang w:eastAsia="ar-SA"/>
    </w:rPr>
  </w:style>
  <w:style w:type="paragraph" w:styleId="ListParagraph">
    <w:name w:val="List Paragraph"/>
    <w:basedOn w:val="Standard"/>
    <w:uiPriority w:val="99"/>
    <w:qFormat/>
    <w:pPr>
      <w:ind w:left="720"/>
    </w:pPr>
    <w:rPr>
      <w:szCs w:val="20"/>
      <w:lang w:eastAsia="ar-SA"/>
    </w:rPr>
  </w:style>
  <w:style w:type="paragraph" w:customStyle="1" w:styleId="Default">
    <w:name w:val="Default"/>
    <w:pPr>
      <w:widowControl/>
      <w:suppressAutoHyphens/>
    </w:pPr>
    <w:rPr>
      <w:rFonts w:ascii="Times New Roman" w:eastAsia="Times New Roman" w:hAnsi="Times New Roman" w:cs="Times New Roman"/>
      <w:color w:val="000000"/>
      <w:szCs w:val="24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Heading2Char">
    <w:name w:val="Heading 2 Char"/>
    <w:basedOn w:val="DefaultParagraphFont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Internetlink">
    <w:name w:val="Internet link"/>
    <w:basedOn w:val="DefaultParagraphFont"/>
    <w:rPr>
      <w:color w:val="0563C1"/>
      <w:u w:val="single"/>
    </w:rPr>
  </w:style>
  <w:style w:type="character" w:customStyle="1" w:styleId="HTMLPreformattedChar">
    <w:name w:val="HTML Preformatted Char"/>
    <w:basedOn w:val="DefaultParagraphFont"/>
    <w:rPr>
      <w:rFonts w:ascii="Courier New" w:eastAsia="Times New Roman" w:hAnsi="Courier New" w:cs="Courier New"/>
      <w:sz w:val="20"/>
      <w:szCs w:val="20"/>
      <w:lang w:eastAsia="ar-SA"/>
    </w:rPr>
  </w:style>
  <w:style w:type="character" w:styleId="HTMLTypewriter">
    <w:name w:val="HTML Typewriter"/>
    <w:basedOn w:val="DefaultParagraphFont"/>
    <w:rPr>
      <w:rFonts w:ascii="Courier New" w:eastAsia="Calibri" w:hAnsi="Courier New" w:cs="Courier New"/>
      <w:sz w:val="20"/>
      <w:szCs w:val="20"/>
    </w:rPr>
  </w:style>
  <w:style w:type="character" w:customStyle="1" w:styleId="ListParagraphChar">
    <w:name w:val="List Paragraph Char"/>
    <w:basedOn w:val="DefaultParagraphFont"/>
    <w:uiPriority w:val="99"/>
    <w:qFormat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shorttext">
    <w:name w:val="short_text"/>
    <w:basedOn w:val="DefaultParagraphFont"/>
  </w:style>
  <w:style w:type="character" w:customStyle="1" w:styleId="hps">
    <w:name w:val="hps"/>
    <w:basedOn w:val="DefaultParagraphFont"/>
    <w:qFormat/>
  </w:style>
  <w:style w:type="character" w:customStyle="1" w:styleId="apple-converted-space">
    <w:name w:val="apple-converted-space"/>
    <w:basedOn w:val="DefaultParagraphFont"/>
    <w:qFormat/>
  </w:style>
  <w:style w:type="character" w:customStyle="1" w:styleId="BodyTextChar">
    <w:name w:val="Body Text Char"/>
    <w:basedOn w:val="DefaultParagraphFont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rPr>
      <w:color w:val="954F72"/>
      <w:u w:val="single"/>
    </w:rPr>
  </w:style>
  <w:style w:type="character" w:customStyle="1" w:styleId="ListLabel1">
    <w:name w:val="ListLabel 1"/>
    <w:rPr>
      <w:rFonts w:ascii="Times New Roman" w:eastAsia="Times New Roman" w:hAnsi="Times New Roman" w:cs="Times New Roman"/>
      <w:b w:val="0"/>
      <w:i w:val="0"/>
      <w:sz w:val="24"/>
    </w:rPr>
  </w:style>
  <w:style w:type="character" w:customStyle="1" w:styleId="ListLabel2">
    <w:name w:val="ListLabel 2"/>
    <w:rPr>
      <w:i w:val="0"/>
    </w:rPr>
  </w:style>
  <w:style w:type="character" w:customStyle="1" w:styleId="ListLabel3">
    <w:name w:val="ListLabel 3"/>
    <w:rPr>
      <w:rFonts w:eastAsia="Times New Roman" w:cs="Times New Roman"/>
    </w:rPr>
  </w:style>
  <w:style w:type="character" w:customStyle="1" w:styleId="ListLabel4">
    <w:name w:val="ListLabel 4"/>
    <w:rPr>
      <w:b w:val="0"/>
      <w:color w:val="auto"/>
    </w:rPr>
  </w:style>
  <w:style w:type="character" w:customStyle="1" w:styleId="ListLabel5">
    <w:name w:val="ListLabel 5"/>
    <w:rPr>
      <w:b w:val="0"/>
    </w:rPr>
  </w:style>
  <w:style w:type="character" w:customStyle="1" w:styleId="ListLabel6">
    <w:name w:val="ListLabel 6"/>
    <w:rPr>
      <w:b w:val="0"/>
    </w:rPr>
  </w:style>
  <w:style w:type="character" w:customStyle="1" w:styleId="ListLabel7">
    <w:name w:val="ListLabel 7"/>
    <w:rPr>
      <w:b w:val="0"/>
    </w:rPr>
  </w:style>
  <w:style w:type="character" w:customStyle="1" w:styleId="ListLabel8">
    <w:name w:val="ListLabel 8"/>
    <w:rPr>
      <w:b w:val="0"/>
    </w:rPr>
  </w:style>
  <w:style w:type="character" w:customStyle="1" w:styleId="ListLabel9">
    <w:name w:val="ListLabel 9"/>
    <w:rPr>
      <w:b w:val="0"/>
    </w:rPr>
  </w:style>
  <w:style w:type="character" w:customStyle="1" w:styleId="ListLabel10">
    <w:name w:val="ListLabel 10"/>
    <w:rPr>
      <w:b w:val="0"/>
    </w:rPr>
  </w:style>
  <w:style w:type="character" w:customStyle="1" w:styleId="ListLabel11">
    <w:name w:val="ListLabel 11"/>
    <w:rPr>
      <w:b w:val="0"/>
      <w:i w:val="0"/>
    </w:rPr>
  </w:style>
  <w:style w:type="character" w:customStyle="1" w:styleId="ListLabel12">
    <w:name w:val="ListLabel 12"/>
    <w:rPr>
      <w:sz w:val="20"/>
    </w:rPr>
  </w:style>
  <w:style w:type="character" w:customStyle="1" w:styleId="ListLabel13">
    <w:name w:val="ListLabel 13"/>
    <w:rPr>
      <w:sz w:val="20"/>
    </w:rPr>
  </w:style>
  <w:style w:type="character" w:customStyle="1" w:styleId="ListLabel14">
    <w:name w:val="ListLabel 14"/>
    <w:rPr>
      <w:sz w:val="20"/>
    </w:rPr>
  </w:style>
  <w:style w:type="character" w:customStyle="1" w:styleId="ListLabel15">
    <w:name w:val="ListLabel 15"/>
    <w:rPr>
      <w:sz w:val="20"/>
    </w:rPr>
  </w:style>
  <w:style w:type="character" w:customStyle="1" w:styleId="ListLabel16">
    <w:name w:val="ListLabel 16"/>
    <w:rPr>
      <w:sz w:val="20"/>
    </w:rPr>
  </w:style>
  <w:style w:type="character" w:customStyle="1" w:styleId="ListLabel17">
    <w:name w:val="ListLabel 17"/>
    <w:rPr>
      <w:sz w:val="20"/>
    </w:rPr>
  </w:style>
  <w:style w:type="character" w:customStyle="1" w:styleId="ListLabel18">
    <w:name w:val="ListLabel 18"/>
    <w:rPr>
      <w:sz w:val="20"/>
    </w:rPr>
  </w:style>
  <w:style w:type="character" w:customStyle="1" w:styleId="ListLabel19">
    <w:name w:val="ListLabel 19"/>
    <w:rPr>
      <w:sz w:val="20"/>
    </w:rPr>
  </w:style>
  <w:style w:type="character" w:customStyle="1" w:styleId="ListLabel20">
    <w:name w:val="ListLabel 20"/>
    <w:rPr>
      <w:sz w:val="20"/>
    </w:rPr>
  </w:style>
  <w:style w:type="character" w:customStyle="1" w:styleId="ListLabel21">
    <w:name w:val="ListLabel 21"/>
    <w:rPr>
      <w:b w:val="0"/>
    </w:rPr>
  </w:style>
  <w:style w:type="character" w:customStyle="1" w:styleId="ListLabel22">
    <w:name w:val="ListLabel 22"/>
    <w:rPr>
      <w:b w:val="0"/>
    </w:rPr>
  </w:style>
  <w:style w:type="character" w:customStyle="1" w:styleId="ListLabel23">
    <w:name w:val="ListLabel 23"/>
    <w:rPr>
      <w:b/>
    </w:rPr>
  </w:style>
  <w:style w:type="character" w:customStyle="1" w:styleId="ListLabel24">
    <w:name w:val="ListLabel 24"/>
    <w:rPr>
      <w:b w:val="0"/>
    </w:rPr>
  </w:style>
  <w:style w:type="character" w:customStyle="1" w:styleId="ListLabel25">
    <w:name w:val="ListLabel 25"/>
    <w:rPr>
      <w:b/>
    </w:rPr>
  </w:style>
  <w:style w:type="character" w:customStyle="1" w:styleId="ListLabel26">
    <w:name w:val="ListLabel 26"/>
    <w:rPr>
      <w:b w:val="0"/>
    </w:rPr>
  </w:style>
  <w:style w:type="character" w:customStyle="1" w:styleId="ListLabel27">
    <w:name w:val="ListLabel 27"/>
    <w:rPr>
      <w:b w:val="0"/>
    </w:rPr>
  </w:style>
  <w:style w:type="character" w:customStyle="1" w:styleId="ListLabel28">
    <w:name w:val="ListLabel 28"/>
    <w:rPr>
      <w:b/>
    </w:rPr>
  </w:style>
  <w:style w:type="character" w:customStyle="1" w:styleId="ListLabel29">
    <w:name w:val="ListLabel 29"/>
    <w:rPr>
      <w:b/>
    </w:rPr>
  </w:style>
  <w:style w:type="character" w:customStyle="1" w:styleId="ListLabel30">
    <w:name w:val="ListLabel 30"/>
    <w:rPr>
      <w:rFonts w:eastAsia="Calibri"/>
    </w:rPr>
  </w:style>
  <w:style w:type="character" w:customStyle="1" w:styleId="ListLabel31">
    <w:name w:val="ListLabel 31"/>
  </w:style>
  <w:style w:type="character" w:customStyle="1" w:styleId="ListLabel32">
    <w:name w:val="ListLabel 32"/>
    <w:rPr>
      <w:szCs w:val="24"/>
    </w:rPr>
  </w:style>
  <w:style w:type="character" w:customStyle="1" w:styleId="ListLabel33">
    <w:name w:val="ListLabel 33"/>
    <w:rPr>
      <w:bCs/>
      <w:szCs w:val="24"/>
    </w:rPr>
  </w:style>
  <w:style w:type="character" w:customStyle="1" w:styleId="ListLabel34">
    <w:name w:val="ListLabel 34"/>
    <w:rPr>
      <w:szCs w:val="24"/>
      <w:lang w:eastAsia="en-US"/>
    </w:rPr>
  </w:style>
  <w:style w:type="character" w:customStyle="1" w:styleId="ListLabel35">
    <w:name w:val="ListLabel 35"/>
    <w:rPr>
      <w:color w:val="316C9D"/>
      <w:lang w:val="en-US"/>
    </w:rPr>
  </w:style>
  <w:style w:type="character" w:customStyle="1" w:styleId="ListLabel36">
    <w:name w:val="ListLabel 36"/>
    <w:rPr>
      <w:bCs/>
      <w:szCs w:val="20"/>
      <w:lang w:val="en-US" w:eastAsia="ar-SA"/>
    </w:rPr>
  </w:style>
  <w:style w:type="character" w:customStyle="1" w:styleId="ListLabel37">
    <w:name w:val="ListLabel 37"/>
    <w:rPr>
      <w:rFonts w:eastAsia="Calibri"/>
      <w:color w:val="1A6594"/>
      <w:shd w:val="clear" w:color="auto" w:fill="FFFFFF"/>
    </w:rPr>
  </w:style>
  <w:style w:type="character" w:customStyle="1" w:styleId="ListLabel38">
    <w:name w:val="ListLabel 38"/>
    <w:rPr>
      <w:shd w:val="clear" w:color="auto" w:fill="FFFFFF"/>
    </w:rPr>
  </w:style>
  <w:style w:type="character" w:customStyle="1" w:styleId="ListLabel39">
    <w:name w:val="ListLabel 39"/>
    <w:rPr>
      <w:rFonts w:eastAsia="Calibri"/>
      <w:color w:val="4BACC6"/>
    </w:rPr>
  </w:style>
  <w:style w:type="character" w:customStyle="1" w:styleId="ListLabel40">
    <w:name w:val="ListLabel 40"/>
    <w:rPr>
      <w:color w:val="4F81BD"/>
      <w:shd w:val="clear" w:color="auto" w:fill="FFFFFF"/>
    </w:rPr>
  </w:style>
  <w:style w:type="character" w:customStyle="1" w:styleId="ListLabel41">
    <w:name w:val="ListLabel 41"/>
    <w:rPr>
      <w:rFonts w:eastAsia="Calibri"/>
      <w:color w:val="4F81BD"/>
    </w:rPr>
  </w:style>
  <w:style w:type="character" w:customStyle="1" w:styleId="ListLabel42">
    <w:name w:val="ListLabel 42"/>
    <w:rPr>
      <w:rFonts w:eastAsia="Calibri"/>
      <w:bCs/>
      <w:color w:val="4BACC6"/>
    </w:rPr>
  </w:style>
  <w:style w:type="character" w:customStyle="1" w:styleId="ListLabel43">
    <w:name w:val="ListLabel 43"/>
    <w:rPr>
      <w:color w:val="3366FF"/>
      <w:shd w:val="clear" w:color="auto" w:fill="FFFFFF"/>
    </w:rPr>
  </w:style>
  <w:style w:type="character" w:customStyle="1" w:styleId="NumberingSymbols">
    <w:name w:val="Numbering Symbols"/>
  </w:style>
  <w:style w:type="character" w:styleId="UnresolvedMention">
    <w:name w:val="Unresolved Mention"/>
    <w:basedOn w:val="DefaultParagraphFont"/>
    <w:rPr>
      <w:color w:val="605E5C"/>
      <w:shd w:val="clear" w:color="auto" w:fill="E1DFDD"/>
    </w:rPr>
  </w:style>
  <w:style w:type="paragraph" w:styleId="BodyText">
    <w:name w:val="Body Text"/>
    <w:basedOn w:val="Normal"/>
    <w:pPr>
      <w:widowControl/>
      <w:suppressAutoHyphens w:val="0"/>
      <w:spacing w:after="120"/>
      <w:textAlignment w:val="auto"/>
    </w:pPr>
    <w:rPr>
      <w:rFonts w:ascii="Times New Roman" w:eastAsia="Times New Roman" w:hAnsi="Times New Roman" w:cs="Times New Roman"/>
      <w:szCs w:val="24"/>
    </w:rPr>
  </w:style>
  <w:style w:type="character" w:customStyle="1" w:styleId="BodyTextChar1">
    <w:name w:val="Body Text Char1"/>
    <w:basedOn w:val="DefaultParagraphFont"/>
  </w:style>
  <w:style w:type="character" w:styleId="Hyperlink">
    <w:name w:val="Hyperlink"/>
    <w:basedOn w:val="DefaultParagraphFont"/>
    <w:rPr>
      <w:color w:val="0563C1"/>
      <w:u w:val="single"/>
    </w:rPr>
  </w:style>
  <w:style w:type="numbering" w:customStyle="1" w:styleId="NoList1">
    <w:name w:val="No List_1"/>
    <w:basedOn w:val="NoList"/>
    <w:pPr>
      <w:numPr>
        <w:numId w:val="1"/>
      </w:numPr>
    </w:pPr>
  </w:style>
  <w:style w:type="numbering" w:customStyle="1" w:styleId="WWNum1">
    <w:name w:val="WWNum1"/>
    <w:basedOn w:val="NoList"/>
    <w:pPr>
      <w:numPr>
        <w:numId w:val="2"/>
      </w:numPr>
    </w:pPr>
  </w:style>
  <w:style w:type="numbering" w:customStyle="1" w:styleId="WWNum2">
    <w:name w:val="WWNum2"/>
    <w:basedOn w:val="NoList"/>
    <w:pPr>
      <w:numPr>
        <w:numId w:val="3"/>
      </w:numPr>
    </w:pPr>
  </w:style>
  <w:style w:type="numbering" w:customStyle="1" w:styleId="WWNum3">
    <w:name w:val="WWNum3"/>
    <w:basedOn w:val="NoList"/>
    <w:pPr>
      <w:numPr>
        <w:numId w:val="4"/>
      </w:numPr>
    </w:pPr>
  </w:style>
  <w:style w:type="numbering" w:customStyle="1" w:styleId="WWNum4">
    <w:name w:val="WWNum4"/>
    <w:basedOn w:val="NoList"/>
    <w:pPr>
      <w:numPr>
        <w:numId w:val="5"/>
      </w:numPr>
    </w:pPr>
  </w:style>
  <w:style w:type="numbering" w:customStyle="1" w:styleId="WWNum5">
    <w:name w:val="WWNum5"/>
    <w:basedOn w:val="NoList"/>
    <w:pPr>
      <w:numPr>
        <w:numId w:val="6"/>
      </w:numPr>
    </w:pPr>
  </w:style>
  <w:style w:type="numbering" w:customStyle="1" w:styleId="WWNum6">
    <w:name w:val="WWNum6"/>
    <w:basedOn w:val="NoList"/>
    <w:pPr>
      <w:numPr>
        <w:numId w:val="7"/>
      </w:numPr>
    </w:pPr>
  </w:style>
  <w:style w:type="numbering" w:customStyle="1" w:styleId="WWNum7">
    <w:name w:val="WWNum7"/>
    <w:basedOn w:val="NoList"/>
    <w:pPr>
      <w:numPr>
        <w:numId w:val="8"/>
      </w:numPr>
    </w:pPr>
  </w:style>
  <w:style w:type="numbering" w:customStyle="1" w:styleId="WWNum8">
    <w:name w:val="WWNum8"/>
    <w:basedOn w:val="NoList"/>
    <w:pPr>
      <w:numPr>
        <w:numId w:val="9"/>
      </w:numPr>
    </w:pPr>
  </w:style>
  <w:style w:type="numbering" w:customStyle="1" w:styleId="WWNum9">
    <w:name w:val="WWNum9"/>
    <w:basedOn w:val="NoList"/>
    <w:pPr>
      <w:numPr>
        <w:numId w:val="10"/>
      </w:numPr>
    </w:pPr>
  </w:style>
  <w:style w:type="numbering" w:customStyle="1" w:styleId="WWNum10">
    <w:name w:val="WWNum10"/>
    <w:basedOn w:val="NoList"/>
    <w:pPr>
      <w:numPr>
        <w:numId w:val="11"/>
      </w:numPr>
    </w:pPr>
  </w:style>
  <w:style w:type="numbering" w:customStyle="1" w:styleId="WWNum11">
    <w:name w:val="WWNum11"/>
    <w:basedOn w:val="NoList"/>
    <w:pPr>
      <w:numPr>
        <w:numId w:val="12"/>
      </w:numPr>
    </w:pPr>
  </w:style>
  <w:style w:type="numbering" w:customStyle="1" w:styleId="WWNum12">
    <w:name w:val="WWNum12"/>
    <w:basedOn w:val="NoList"/>
    <w:pPr>
      <w:numPr>
        <w:numId w:val="13"/>
      </w:numPr>
    </w:pPr>
  </w:style>
  <w:style w:type="numbering" w:customStyle="1" w:styleId="WWNum13">
    <w:name w:val="WWNum13"/>
    <w:basedOn w:val="NoList"/>
    <w:pPr>
      <w:numPr>
        <w:numId w:val="14"/>
      </w:numPr>
    </w:pPr>
  </w:style>
  <w:style w:type="numbering" w:customStyle="1" w:styleId="WWNum14">
    <w:name w:val="WWNum14"/>
    <w:basedOn w:val="NoList"/>
    <w:pPr>
      <w:numPr>
        <w:numId w:val="15"/>
      </w:numPr>
    </w:pPr>
  </w:style>
  <w:style w:type="numbering" w:customStyle="1" w:styleId="WWNum15">
    <w:name w:val="WWNum15"/>
    <w:basedOn w:val="NoList"/>
    <w:pPr>
      <w:numPr>
        <w:numId w:val="16"/>
      </w:numPr>
    </w:pPr>
  </w:style>
  <w:style w:type="numbering" w:customStyle="1" w:styleId="WWNum16">
    <w:name w:val="WWNum16"/>
    <w:basedOn w:val="NoList"/>
    <w:pPr>
      <w:numPr>
        <w:numId w:val="17"/>
      </w:numPr>
    </w:pPr>
  </w:style>
  <w:style w:type="numbering" w:customStyle="1" w:styleId="WWNum17">
    <w:name w:val="WWNum17"/>
    <w:basedOn w:val="NoList"/>
    <w:pPr>
      <w:numPr>
        <w:numId w:val="18"/>
      </w:numPr>
    </w:pPr>
  </w:style>
  <w:style w:type="numbering" w:customStyle="1" w:styleId="WWNum18">
    <w:name w:val="WWNum18"/>
    <w:basedOn w:val="NoList"/>
    <w:pPr>
      <w:numPr>
        <w:numId w:val="19"/>
      </w:numPr>
    </w:pPr>
  </w:style>
  <w:style w:type="numbering" w:customStyle="1" w:styleId="WWNum19">
    <w:name w:val="WWNum19"/>
    <w:basedOn w:val="NoList"/>
    <w:pPr>
      <w:numPr>
        <w:numId w:val="20"/>
      </w:numPr>
    </w:pPr>
  </w:style>
  <w:style w:type="numbering" w:customStyle="1" w:styleId="WWNum20">
    <w:name w:val="WWNum20"/>
    <w:basedOn w:val="NoList"/>
    <w:pPr>
      <w:numPr>
        <w:numId w:val="21"/>
      </w:numPr>
    </w:pPr>
  </w:style>
  <w:style w:type="numbering" w:customStyle="1" w:styleId="WWNum21">
    <w:name w:val="WWNum21"/>
    <w:basedOn w:val="NoList"/>
    <w:pPr>
      <w:numPr>
        <w:numId w:val="22"/>
      </w:numPr>
    </w:pPr>
  </w:style>
  <w:style w:type="numbering" w:customStyle="1" w:styleId="WWNum22">
    <w:name w:val="WWNum22"/>
    <w:basedOn w:val="NoList"/>
    <w:pPr>
      <w:numPr>
        <w:numId w:val="23"/>
      </w:numPr>
    </w:pPr>
  </w:style>
  <w:style w:type="numbering" w:customStyle="1" w:styleId="WWNum23">
    <w:name w:val="WWNum23"/>
    <w:basedOn w:val="NoList"/>
    <w:pPr>
      <w:numPr>
        <w:numId w:val="24"/>
      </w:numPr>
    </w:pPr>
  </w:style>
  <w:style w:type="character" w:customStyle="1" w:styleId="InternetLink0">
    <w:name w:val="Internet Link"/>
    <w:basedOn w:val="DefaultParagraphFont"/>
    <w:uiPriority w:val="99"/>
    <w:unhideWhenUsed/>
    <w:rsid w:val="003C7B9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novapublishers.com/shop/energy-security-perspectives-improvement-strategies-and-challenges/" TargetMode="External"/><Relationship Id="rId18" Type="http://schemas.openxmlformats.org/officeDocument/2006/relationships/hyperlink" Target="https://doi.org/10.1016/j.rser.2022.112759" TargetMode="External"/><Relationship Id="rId26" Type="http://schemas.openxmlformats.org/officeDocument/2006/relationships/hyperlink" Target="http://dx.doi.org/10.1016/j.rser.2009.07.010" TargetMode="External"/><Relationship Id="rId39" Type="http://schemas.openxmlformats.org/officeDocument/2006/relationships/hyperlink" Target="http://dx.doi.org/10.1063/1.4817963" TargetMode="External"/><Relationship Id="rId21" Type="http://schemas.openxmlformats.org/officeDocument/2006/relationships/hyperlink" Target="https://doi.org/10.1016/j.rser.2018.03.061" TargetMode="External"/><Relationship Id="rId34" Type="http://schemas.openxmlformats.org/officeDocument/2006/relationships/hyperlink" Target="https://doi.org/10.1186/s13705-021-00324-2" TargetMode="External"/><Relationship Id="rId42" Type="http://schemas.openxmlformats.org/officeDocument/2006/relationships/fontTable" Target="fontTable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hyperlink" Target="http://www.ien.bg.ac.rs/images/stories/download/eurointprocess.pdf" TargetMode="External"/><Relationship Id="rId20" Type="http://schemas.openxmlformats.org/officeDocument/2006/relationships/hyperlink" Target="https://doi.org/10.1016/j.rser.2018.08.058" TargetMode="External"/><Relationship Id="rId29" Type="http://schemas.openxmlformats.org/officeDocument/2006/relationships/hyperlink" Target="https://doi.org/10.1002/sd.1679" TargetMode="External"/><Relationship Id="rId41" Type="http://schemas.openxmlformats.org/officeDocument/2006/relationships/hyperlink" Target="http://dx.doi.org/10.1063/1.3663953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store.elsevier.com/product.jsp?isbn=9780123914279&amp;pagename=search" TargetMode="External"/><Relationship Id="rId24" Type="http://schemas.openxmlformats.org/officeDocument/2006/relationships/hyperlink" Target="http://onlinelibrary.wiley.com/doi/10.1111/joes.12006/abstract" TargetMode="External"/><Relationship Id="rId32" Type="http://schemas.openxmlformats.org/officeDocument/2006/relationships/hyperlink" Target="http://ekorozwoj.pol.lublin.pl/no13/i.pdf" TargetMode="External"/><Relationship Id="rId37" Type="http://schemas.openxmlformats.org/officeDocument/2006/relationships/hyperlink" Target="https://doi.org/10.3390/en13143691" TargetMode="External"/><Relationship Id="rId40" Type="http://schemas.openxmlformats.org/officeDocument/2006/relationships/hyperlink" Target="http://dx.doi.org/10.1063/1.3631820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novapublishers.com/catalog/product_info.php?products_id=40662" TargetMode="External"/><Relationship Id="rId23" Type="http://schemas.openxmlformats.org/officeDocument/2006/relationships/hyperlink" Target="https://doi.org/10.1016/j.rser.2016.02.010" TargetMode="External"/><Relationship Id="rId28" Type="http://schemas.openxmlformats.org/officeDocument/2006/relationships/hyperlink" Target="https://doi.org/10.1007/s11625-018-0557-2" TargetMode="External"/><Relationship Id="rId36" Type="http://schemas.openxmlformats.org/officeDocument/2006/relationships/hyperlink" Target="https://doi.org/10.3390/en14030591" TargetMode="External"/><Relationship Id="rId10" Type="http://schemas.openxmlformats.org/officeDocument/2006/relationships/hyperlink" Target="https://www.biomedcentral.com/collections/greendeal23" TargetMode="External"/><Relationship Id="rId19" Type="http://schemas.openxmlformats.org/officeDocument/2006/relationships/hyperlink" Target="https://doi.org/10.1016/j.erss.2019.101258" TargetMode="External"/><Relationship Id="rId31" Type="http://schemas.openxmlformats.org/officeDocument/2006/relationships/hyperlink" Target="http://ekorozwoj.pol.lublin.pl/no15/k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nergsustainsoc.biomedcentral.com/greendealrec" TargetMode="External"/><Relationship Id="rId14" Type="http://schemas.openxmlformats.org/officeDocument/2006/relationships/hyperlink" Target="https://www.novapublishers.com/catalog/product_info.php?products_id=40662" TargetMode="External"/><Relationship Id="rId22" Type="http://schemas.openxmlformats.org/officeDocument/2006/relationships/hyperlink" Target="https://doi.org/10.1016/j.rser.2017.06.072" TargetMode="External"/><Relationship Id="rId27" Type="http://schemas.openxmlformats.org/officeDocument/2006/relationships/hyperlink" Target="http://dx.doi.org/10.1016/j.rser.2009.06.026" TargetMode="External"/><Relationship Id="rId30" Type="http://schemas.openxmlformats.org/officeDocument/2006/relationships/hyperlink" Target="https://doi.org/10.1016/j.energy.2015.07.011" TargetMode="External"/><Relationship Id="rId35" Type="http://schemas.openxmlformats.org/officeDocument/2006/relationships/hyperlink" Target="https://doi.org/10.1007/s00500-021-05976-y" TargetMode="External"/><Relationship Id="rId43" Type="http://schemas.openxmlformats.org/officeDocument/2006/relationships/theme" Target="theme/theme1.xml"/><Relationship Id="rId8" Type="http://schemas.openxmlformats.org/officeDocument/2006/relationships/hyperlink" Target="https://www.scopus.com/authid/detail.uri?authorId=25930967600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elsevier.com/books/sustainable-energy-management/radovanovic-golusin/978-0-12-821086-4" TargetMode="External"/><Relationship Id="rId17" Type="http://schemas.openxmlformats.org/officeDocument/2006/relationships/hyperlink" Target="http://www.ien.bg.ac.rs/images/stories/download/eurointprocess.pdf" TargetMode="External"/><Relationship Id="rId25" Type="http://schemas.openxmlformats.org/officeDocument/2006/relationships/hyperlink" Target="http://dx.doi.org/10.1016/j.rser.2011.11.012" TargetMode="External"/><Relationship Id="rId33" Type="http://schemas.openxmlformats.org/officeDocument/2006/relationships/hyperlink" Target="https://doi.org/10.1186/s13705-022-00342-8" TargetMode="External"/><Relationship Id="rId38" Type="http://schemas.openxmlformats.org/officeDocument/2006/relationships/hyperlink" Target="https://doi.org/10.3390/en1312323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3109</Words>
  <Characters>17723</Characters>
  <Application>Microsoft Office Word</Application>
  <DocSecurity>0</DocSecurity>
  <Lines>147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MIRJANA</dc:creator>
  <cp:lastModifiedBy>mirjana4444@gmail.com</cp:lastModifiedBy>
  <cp:revision>8</cp:revision>
  <dcterms:created xsi:type="dcterms:W3CDTF">2022-10-06T20:37:00Z</dcterms:created>
  <dcterms:modified xsi:type="dcterms:W3CDTF">2023-02-23T14:03:00Z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by adguard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